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spacing w:after="120"/>
        <w:jc w:val="center"/>
      </w:pPr>
      <w:r>
        <w:t xml:space="preserve">СОГЛАСИЕ</w:t>
      </w:r>
    </w:p>
    <w:p>
      <w:pPr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на обработку персональных данных и Политика обработки персональных данных</w:t>
      </w:r>
    </w:p>
    <w:p>
      <w:pPr>
        <w:spacing w:after="300"/>
        <w:jc w:val="center"/>
      </w:pPr>
      <w:r>
        <w:rPr>
          <w:rFonts w:ascii="Times New Roman" w:cs="Times New Roman" w:eastAsia="Times New Roman" w:hAnsi="Times New Roman"/>
          <w:i/>
          <w:iCs/>
          <w:sz w:val="22"/>
          <w:szCs w:val="22"/>
        </w:rPr>
        <w:t xml:space="preserve">Дата вступления в силу: «____» ________________ 20____ г.</w:t>
      </w:r>
    </w:p>
    <w:p>
      <w:pPr>
        <w:spacing w:after="16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Настоящим Пользователь, регистрируясь в сервисе KRYPTA, подтверждает, что свободно, своей волей и в своем интересе предоставляет согласие Оператору, реквизиты которого указаны в разделе 1 настоящего документа, на обработку персональных данных в соответствии с Федеральным законом от 27.07.2006 № 152-ФЗ «О персональных данных» и иным законодательством Российской Федерации о персональных данных.</w:t>
      </w:r>
    </w:p>
    <w:p>
      <w:pPr>
        <w:spacing w:after="16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/>
          <w:iCs/>
          <w:sz w:val="22"/>
          <w:szCs w:val="22"/>
        </w:rPr>
        <w:t xml:space="preserve">Согласие должно быть реализовано в интерфейсе регистрации отдельным действием пользователя (отдельным чекбоксом), а не скрыто внутри текста Оферты. Согласие является конкретным, информированным и однозначным и оформляется отдельно от согласия на маркетинговую рассылку.</w:t>
      </w:r>
    </w:p>
    <w:p>
      <w:pPr>
        <w:pStyle w:val="Heading1"/>
        <w:spacing w:after="160" w:before="360"/>
      </w:pPr>
      <w:r>
        <w:t xml:space="preserve">1. Оператор персональных данных</w:t>
      </w:r>
    </w:p>
    <w:p>
      <w:pPr>
        <w:spacing w:after="16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Оператором персональных данных является:</w:t>
      </w:r>
    </w:p>
    <w:p>
      <w:pPr>
        <w:spacing w:after="16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Наименование: _____________________________________________</w:t>
      </w:r>
    </w:p>
    <w:p>
      <w:pPr>
        <w:spacing w:after="16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ИНН: __________________</w:t>
      </w:r>
    </w:p>
    <w:p>
      <w:pPr>
        <w:spacing w:after="16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ОГРН / ОГРНИП: ______________________</w:t>
      </w:r>
    </w:p>
    <w:p>
      <w:pPr>
        <w:spacing w:after="16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Адрес: __________________________________________________</w:t>
      </w:r>
    </w:p>
    <w:p>
      <w:pPr>
        <w:spacing w:after="16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E-mail для обращений по персональным данным: ______________________________</w:t>
      </w:r>
    </w:p>
    <w:p>
      <w:pPr>
        <w:spacing w:after="16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Сведения об Операторе внесены в реестр операторов, осуществляющих обработку персональных данных, в порядке, предусмотренном статьей 22 Федерального закона № 152-ФЗ (уведомление № ________________ от «____» ________________ 20____ г.).</w:t>
      </w:r>
    </w:p>
    <w:p>
      <w:pPr>
        <w:pStyle w:val="Heading1"/>
        <w:spacing w:after="160" w:before="360"/>
      </w:pPr>
      <w:r>
        <w:t xml:space="preserve">2. Возрастные ограничения</w:t>
      </w:r>
    </w:p>
    <w:p>
      <w:pPr>
        <w:spacing w:after="16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2.1. Сервис не предназначен для лиц младше 18 лет. Оператор не осуществляет целенаправленный сбор персональных данных несовершеннолетних.</w:t>
      </w:r>
    </w:p>
    <w:p>
      <w:pPr>
        <w:spacing w:after="16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2.2. Если Оператору станет известно, что персональные данные были предоставлены лицом младше 18 лет без согласия законного представителя, Оператор вправе заблокировать учетную запись и удалить соответствующие данные в порядке, предусмотренном законодательством.</w:t>
      </w:r>
    </w:p>
    <w:p>
      <w:pPr>
        <w:pStyle w:val="Heading1"/>
        <w:spacing w:after="160" w:before="360"/>
      </w:pPr>
      <w:r>
        <w:t xml:space="preserve">3. Какие данные могут обрабатываться</w:t>
      </w:r>
    </w:p>
    <w:p>
      <w:pPr>
        <w:spacing w:after="16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В зависимости от используемого функционала KRYPTA может обрабатывать:</w:t>
      </w:r>
    </w:p>
    <w:p>
      <w:pPr>
        <w:spacing w:after="120" w:before="200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3.1. Данные учетной записи</w:t>
      </w:r>
    </w:p>
    <w:p>
      <w:pPr>
        <w:pStyle w:val="ListParagraph"/>
        <w:numPr>
          <w:ilvl w:val="0"/>
          <w:numId w:val="1"/>
        </w:numPr>
        <w:spacing w:after="80" w:line="276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адрес электронной почты;</w:t>
      </w:r>
    </w:p>
    <w:p>
      <w:pPr>
        <w:pStyle w:val="ListParagraph"/>
        <w:numPr>
          <w:ilvl w:val="0"/>
          <w:numId w:val="1"/>
        </w:numPr>
        <w:spacing w:after="80" w:line="276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идентификатор учетной записи;</w:t>
      </w:r>
    </w:p>
    <w:p>
      <w:pPr>
        <w:pStyle w:val="ListParagraph"/>
        <w:numPr>
          <w:ilvl w:val="0"/>
          <w:numId w:val="1"/>
        </w:numPr>
        <w:spacing w:after="80" w:line="276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технические данные, связанные с регистрацией и использованием учетной записи.</w:t>
      </w:r>
    </w:p>
    <w:p>
      <w:pPr>
        <w:spacing w:after="120" w:before="200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3.2. Данные аутентификации</w:t>
      </w:r>
    </w:p>
    <w:p>
      <w:pPr>
        <w:spacing w:after="16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Пароль Пользователя используется исключительно для организации доступа к учетной записи.</w:t>
      </w:r>
    </w:p>
    <w:p>
      <w:pPr>
        <w:spacing w:after="16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Пароль не хранится в открытом виде и не используется для каких-либо целей, кроме обеспечения доступа и безопасности учетной записи.</w:t>
      </w:r>
    </w:p>
    <w:p>
      <w:pPr>
        <w:spacing w:after="16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KRYPTA не использует пароль учетной записи для доступа к криптовалютным кошелькам Пользователя.</w:t>
      </w:r>
    </w:p>
    <w:p>
      <w:pPr>
        <w:spacing w:after="120" w:before="200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3.3. Данные кошельков</w:t>
      </w:r>
    </w:p>
    <w:p>
      <w:pPr>
        <w:spacing w:after="16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При использовании соответствующего функционала Пользователь может добавить:</w:t>
      </w:r>
    </w:p>
    <w:p>
      <w:pPr>
        <w:pStyle w:val="ListParagraph"/>
        <w:numPr>
          <w:ilvl w:val="0"/>
          <w:numId w:val="1"/>
        </w:numPr>
        <w:spacing w:after="80" w:line="276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публичный адрес цифрового кошелька;</w:t>
      </w:r>
    </w:p>
    <w:p>
      <w:pPr>
        <w:pStyle w:val="ListParagraph"/>
        <w:numPr>
          <w:ilvl w:val="0"/>
          <w:numId w:val="1"/>
        </w:numPr>
        <w:spacing w:after="80" w:line="276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название или пользовательскую метку кошелька;</w:t>
      </w:r>
    </w:p>
    <w:p>
      <w:pPr>
        <w:pStyle w:val="ListParagraph"/>
        <w:numPr>
          <w:ilvl w:val="0"/>
          <w:numId w:val="1"/>
        </w:numPr>
        <w:spacing w:after="80" w:line="276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иные публичные идентификаторы, необходимые для работы функционала.</w:t>
      </w:r>
    </w:p>
    <w:p>
      <w:pPr>
        <w:spacing w:after="120" w:before="200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3.4. Данные операций</w:t>
      </w:r>
    </w:p>
    <w:p>
      <w:pPr>
        <w:spacing w:after="16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В зависимости от функционала могут обрабатываться:</w:t>
      </w:r>
    </w:p>
    <w:p>
      <w:pPr>
        <w:pStyle w:val="ListParagraph"/>
        <w:numPr>
          <w:ilvl w:val="0"/>
          <w:numId w:val="1"/>
        </w:numPr>
        <w:spacing w:after="80" w:line="276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информация о транзакциях, включая хеши транзакций (tx_id) и номера блоков;</w:t>
      </w:r>
    </w:p>
    <w:p>
      <w:pPr>
        <w:pStyle w:val="ListParagraph"/>
        <w:numPr>
          <w:ilvl w:val="0"/>
          <w:numId w:val="1"/>
        </w:numPr>
        <w:spacing w:after="80" w:line="276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даты и время операций;</w:t>
      </w:r>
    </w:p>
    <w:p>
      <w:pPr>
        <w:pStyle w:val="ListParagraph"/>
        <w:numPr>
          <w:ilvl w:val="0"/>
          <w:numId w:val="1"/>
        </w:numPr>
        <w:spacing w:after="80" w:line="276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виды и наименования цифровых активов;</w:t>
      </w:r>
    </w:p>
    <w:p>
      <w:pPr>
        <w:pStyle w:val="ListParagraph"/>
        <w:numPr>
          <w:ilvl w:val="0"/>
          <w:numId w:val="1"/>
        </w:numPr>
        <w:spacing w:after="80" w:line="276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объем операций;</w:t>
      </w:r>
    </w:p>
    <w:p>
      <w:pPr>
        <w:pStyle w:val="ListParagraph"/>
        <w:numPr>
          <w:ilvl w:val="0"/>
          <w:numId w:val="1"/>
        </w:numPr>
        <w:spacing w:after="80" w:line="276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стоимость активов на момент операции;</w:t>
      </w:r>
    </w:p>
    <w:p>
      <w:pPr>
        <w:pStyle w:val="ListParagraph"/>
        <w:numPr>
          <w:ilvl w:val="0"/>
          <w:numId w:val="1"/>
        </w:numPr>
        <w:spacing w:after="80" w:line="276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история операций;</w:t>
      </w:r>
    </w:p>
    <w:p>
      <w:pPr>
        <w:pStyle w:val="ListParagraph"/>
        <w:numPr>
          <w:ilvl w:val="0"/>
          <w:numId w:val="1"/>
        </w:numPr>
        <w:spacing w:after="80" w:line="276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сведения, импортированные Пользователем (в том числе из файлов CSV/XLSX и по API-интеграциям);</w:t>
      </w:r>
    </w:p>
    <w:p>
      <w:pPr>
        <w:pStyle w:val="ListParagraph"/>
        <w:numPr>
          <w:ilvl w:val="0"/>
          <w:numId w:val="1"/>
        </w:numPr>
        <w:spacing w:after="80" w:line="276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информация, доступная в публичных блокчейн-сетях и получаемая через блокчейн-обозреватели.</w:t>
      </w:r>
    </w:p>
    <w:p>
      <w:pPr>
        <w:spacing w:after="120" w:before="200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3.5. Технические данные и данные автоматической фиксации</w:t>
      </w:r>
    </w:p>
    <w:p>
      <w:pPr>
        <w:spacing w:after="16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Для обеспечения работы, безопасности и аналитики Сервиса могут обрабатываться:</w:t>
      </w:r>
    </w:p>
    <w:p>
      <w:pPr>
        <w:pStyle w:val="ListParagraph"/>
        <w:numPr>
          <w:ilvl w:val="0"/>
          <w:numId w:val="1"/>
        </w:numPr>
        <w:spacing w:after="80" w:line="276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IP-адрес, в том числе используемый для определения примерного региона или страны Пользователя;</w:t>
      </w:r>
    </w:p>
    <w:p>
      <w:pPr>
        <w:pStyle w:val="ListParagraph"/>
        <w:numPr>
          <w:ilvl w:val="0"/>
          <w:numId w:val="1"/>
        </w:numPr>
        <w:spacing w:after="80" w:line="276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сведения о браузере и операционной системе;</w:t>
      </w:r>
    </w:p>
    <w:p>
      <w:pPr>
        <w:pStyle w:val="ListParagraph"/>
        <w:numPr>
          <w:ilvl w:val="0"/>
          <w:numId w:val="1"/>
        </w:numPr>
        <w:spacing w:after="80" w:line="276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уникальные технические идентификаторы устройства и браузера — в частности, идентификатор мобильной рекламы (IDFA/GAID) при использовании мобильного приложения и отпечаток браузера (browser fingerprint), используемые в целях обеспечения безопасности, предотвращения мошенничества и веб-аналитики;</w:t>
      </w:r>
    </w:p>
    <w:p>
      <w:pPr>
        <w:pStyle w:val="ListParagraph"/>
        <w:numPr>
          <w:ilvl w:val="0"/>
          <w:numId w:val="1"/>
        </w:numPr>
        <w:spacing w:after="80" w:line="276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дата и время посещения, история действий в интерфейсе;</w:t>
      </w:r>
    </w:p>
    <w:p>
      <w:pPr>
        <w:pStyle w:val="ListParagraph"/>
        <w:numPr>
          <w:ilvl w:val="0"/>
          <w:numId w:val="1"/>
        </w:numPr>
        <w:spacing w:after="80" w:line="276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технические журналы событий (логи);</w:t>
      </w:r>
    </w:p>
    <w:p>
      <w:pPr>
        <w:pStyle w:val="ListParagraph"/>
        <w:numPr>
          <w:ilvl w:val="0"/>
          <w:numId w:val="1"/>
        </w:numPr>
        <w:spacing w:after="80" w:line="276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файлы cookie и аналогичные технологии, используемые для работы сессии, запоминания настроек и веб-аналитики;</w:t>
      </w:r>
    </w:p>
    <w:p>
      <w:pPr>
        <w:pStyle w:val="ListParagraph"/>
        <w:numPr>
          <w:ilvl w:val="0"/>
          <w:numId w:val="1"/>
        </w:numPr>
        <w:spacing w:after="80" w:line="276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данные систем веб-аналитики (в частности, Яндекс.Метрика и аналогичные сервисы веб-аналитики, используемые Оператором);</w:t>
      </w:r>
    </w:p>
    <w:p>
      <w:pPr>
        <w:pStyle w:val="ListParagraph"/>
        <w:numPr>
          <w:ilvl w:val="0"/>
          <w:numId w:val="1"/>
        </w:numPr>
        <w:spacing w:after="80" w:line="276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данные, необходимые для защиты от злоупотреблений и обеспечения безопасности.</w:t>
      </w:r>
    </w:p>
    <w:p>
      <w:pPr>
        <w:spacing w:after="16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Подробные условия использования файлов cookie, включая порядок управления ими через настройки браузера, описаны в отдельной Политике использования файлов cookie, размещенной по адресу ______________________________ (раздел «Документы» на сайте Оператора).</w:t>
      </w:r>
    </w:p>
    <w:p>
      <w:pPr>
        <w:pStyle w:val="Heading1"/>
        <w:spacing w:after="160" w:before="360"/>
      </w:pPr>
      <w:r>
        <w:t xml:space="preserve">4. Какие данные KRYPTA не запрашивает</w:t>
      </w:r>
    </w:p>
    <w:p>
      <w:pPr>
        <w:spacing w:after="16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KRYPTA не требует для работы стандартного функционала:</w:t>
      </w:r>
    </w:p>
    <w:p>
      <w:pPr>
        <w:pStyle w:val="ListParagraph"/>
        <w:numPr>
          <w:ilvl w:val="0"/>
          <w:numId w:val="1"/>
        </w:numPr>
        <w:spacing w:after="80" w:line="276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seed-фразу;</w:t>
      </w:r>
    </w:p>
    <w:p>
      <w:pPr>
        <w:pStyle w:val="ListParagraph"/>
        <w:numPr>
          <w:ilvl w:val="0"/>
          <w:numId w:val="1"/>
        </w:numPr>
        <w:spacing w:after="80" w:line="276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приватный ключ;</w:t>
      </w:r>
    </w:p>
    <w:p>
      <w:pPr>
        <w:pStyle w:val="ListParagraph"/>
        <w:numPr>
          <w:ilvl w:val="0"/>
          <w:numId w:val="1"/>
        </w:numPr>
        <w:spacing w:after="80" w:line="276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секретную фразу восстановления;</w:t>
      </w:r>
    </w:p>
    <w:p>
      <w:pPr>
        <w:pStyle w:val="ListParagraph"/>
        <w:numPr>
          <w:ilvl w:val="0"/>
          <w:numId w:val="1"/>
        </w:numPr>
        <w:spacing w:after="80" w:line="276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пароль от криптовалютного кошелька.</w:t>
      </w:r>
    </w:p>
    <w:p>
      <w:pPr>
        <w:spacing w:after="160" w:line="276"/>
        <w:jc w:val="both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2"/>
          <w:szCs w:val="22"/>
        </w:rPr>
        <w:t xml:space="preserve">Никогда не передавайте такие данные третьим лицам.</w:t>
      </w:r>
    </w:p>
    <w:p>
      <w:pPr>
        <w:spacing w:after="16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Добавление публичного адреса кошелька в KRYPTA не предоставляет Сервису возможность распоряжаться цифровыми активами Пользователя.</w:t>
      </w:r>
    </w:p>
    <w:p>
      <w:pPr>
        <w:pStyle w:val="Heading1"/>
        <w:spacing w:after="160" w:before="360"/>
      </w:pPr>
      <w:r>
        <w:t xml:space="preserve">5. Цели обработки данных</w:t>
      </w:r>
    </w:p>
    <w:p>
      <w:pPr>
        <w:spacing w:after="16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Персональные данные и связанные с использованием Сервиса сведения могут обрабатываться для:</w:t>
      </w:r>
    </w:p>
    <w:p>
      <w:pPr>
        <w:pStyle w:val="ListParagraph"/>
        <w:numPr>
          <w:ilvl w:val="0"/>
          <w:numId w:val="1"/>
        </w:numPr>
        <w:spacing w:after="80" w:line="276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регистрации Пользователя;</w:t>
      </w:r>
    </w:p>
    <w:p>
      <w:pPr>
        <w:pStyle w:val="ListParagraph"/>
        <w:numPr>
          <w:ilvl w:val="0"/>
          <w:numId w:val="1"/>
        </w:numPr>
        <w:spacing w:after="80" w:line="276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создания и ведения учетной записи;</w:t>
      </w:r>
    </w:p>
    <w:p>
      <w:pPr>
        <w:pStyle w:val="ListParagraph"/>
        <w:numPr>
          <w:ilvl w:val="0"/>
          <w:numId w:val="1"/>
        </w:numPr>
        <w:spacing w:after="80" w:line="276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предоставления доступа к функционалу KRYPTA;</w:t>
      </w:r>
    </w:p>
    <w:p>
      <w:pPr>
        <w:pStyle w:val="ListParagraph"/>
        <w:numPr>
          <w:ilvl w:val="0"/>
          <w:numId w:val="1"/>
        </w:numPr>
        <w:spacing w:after="80" w:line="276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идентификации Пользователя в Сервисе;</w:t>
      </w:r>
    </w:p>
    <w:p>
      <w:pPr>
        <w:pStyle w:val="ListParagraph"/>
        <w:numPr>
          <w:ilvl w:val="0"/>
          <w:numId w:val="1"/>
        </w:numPr>
        <w:spacing w:after="80" w:line="276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восстановления доступа;</w:t>
      </w:r>
    </w:p>
    <w:p>
      <w:pPr>
        <w:pStyle w:val="ListParagraph"/>
        <w:numPr>
          <w:ilvl w:val="0"/>
          <w:numId w:val="1"/>
        </w:numPr>
        <w:spacing w:after="80" w:line="276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обеспечения безопасности учетной записи;</w:t>
      </w:r>
    </w:p>
    <w:p>
      <w:pPr>
        <w:pStyle w:val="ListParagraph"/>
        <w:numPr>
          <w:ilvl w:val="0"/>
          <w:numId w:val="1"/>
        </w:numPr>
        <w:spacing w:after="80" w:line="276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обработки обращений в службу поддержки, включая запись обращений в порядке раздела 9;</w:t>
      </w:r>
    </w:p>
    <w:p>
      <w:pPr>
        <w:pStyle w:val="ListParagraph"/>
        <w:numPr>
          <w:ilvl w:val="0"/>
          <w:numId w:val="1"/>
        </w:numPr>
        <w:spacing w:after="80" w:line="276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формирования отчетов и аналитики;</w:t>
      </w:r>
    </w:p>
    <w:p>
      <w:pPr>
        <w:pStyle w:val="ListParagraph"/>
        <w:numPr>
          <w:ilvl w:val="0"/>
          <w:numId w:val="1"/>
        </w:numPr>
        <w:spacing w:after="80" w:line="276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работы функций учета и анализа цифровых активов;</w:t>
      </w:r>
    </w:p>
    <w:p>
      <w:pPr>
        <w:pStyle w:val="ListParagraph"/>
        <w:numPr>
          <w:ilvl w:val="0"/>
          <w:numId w:val="1"/>
        </w:numPr>
        <w:spacing w:after="80" w:line="276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улучшения работы Сервиса и проведения веб-аналитики;</w:t>
      </w:r>
    </w:p>
    <w:p>
      <w:pPr>
        <w:pStyle w:val="ListParagraph"/>
        <w:numPr>
          <w:ilvl w:val="0"/>
          <w:numId w:val="1"/>
        </w:numPr>
        <w:spacing w:after="80" w:line="276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предотвращения мошенничества и злоупотреблений;</w:t>
      </w:r>
    </w:p>
    <w:p>
      <w:pPr>
        <w:pStyle w:val="ListParagraph"/>
        <w:numPr>
          <w:ilvl w:val="0"/>
          <w:numId w:val="1"/>
        </w:numPr>
        <w:spacing w:after="80" w:line="276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исполнения требований законодательства, включая налоговое и бухгалтерское законодательство;</w:t>
      </w:r>
    </w:p>
    <w:p>
      <w:pPr>
        <w:pStyle w:val="ListParagraph"/>
        <w:numPr>
          <w:ilvl w:val="0"/>
          <w:numId w:val="1"/>
        </w:numPr>
        <w:spacing w:after="80" w:line="276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направления сервисных уведомлений;</w:t>
      </w:r>
    </w:p>
    <w:p>
      <w:pPr>
        <w:pStyle w:val="ListParagraph"/>
        <w:numPr>
          <w:ilvl w:val="0"/>
          <w:numId w:val="1"/>
        </w:numPr>
        <w:spacing w:after="80" w:line="276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осуществления расчетов по платным тарифам и подпискам.</w:t>
      </w:r>
    </w:p>
    <w:p>
      <w:pPr>
        <w:pStyle w:val="Heading1"/>
        <w:spacing w:after="160" w:before="360"/>
      </w:pPr>
      <w:r>
        <w:t xml:space="preserve">6. Действия с персональными данными</w:t>
      </w:r>
    </w:p>
    <w:p>
      <w:pPr>
        <w:spacing w:after="16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Оператор вправе осуществлять следующие действия:</w:t>
      </w:r>
    </w:p>
    <w:p>
      <w:pPr>
        <w:pStyle w:val="ListParagraph"/>
        <w:numPr>
          <w:ilvl w:val="0"/>
          <w:numId w:val="1"/>
        </w:numPr>
        <w:spacing w:after="80" w:line="276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сбор;</w:t>
      </w:r>
    </w:p>
    <w:p>
      <w:pPr>
        <w:pStyle w:val="ListParagraph"/>
        <w:numPr>
          <w:ilvl w:val="0"/>
          <w:numId w:val="1"/>
        </w:numPr>
        <w:spacing w:after="80" w:line="276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запись;</w:t>
      </w:r>
    </w:p>
    <w:p>
      <w:pPr>
        <w:pStyle w:val="ListParagraph"/>
        <w:numPr>
          <w:ilvl w:val="0"/>
          <w:numId w:val="1"/>
        </w:numPr>
        <w:spacing w:after="80" w:line="276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систематизацию;</w:t>
      </w:r>
    </w:p>
    <w:p>
      <w:pPr>
        <w:pStyle w:val="ListParagraph"/>
        <w:numPr>
          <w:ilvl w:val="0"/>
          <w:numId w:val="1"/>
        </w:numPr>
        <w:spacing w:after="80" w:line="276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накопление;</w:t>
      </w:r>
    </w:p>
    <w:p>
      <w:pPr>
        <w:pStyle w:val="ListParagraph"/>
        <w:numPr>
          <w:ilvl w:val="0"/>
          <w:numId w:val="1"/>
        </w:numPr>
        <w:spacing w:after="80" w:line="276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хранение;</w:t>
      </w:r>
    </w:p>
    <w:p>
      <w:pPr>
        <w:pStyle w:val="ListParagraph"/>
        <w:numPr>
          <w:ilvl w:val="0"/>
          <w:numId w:val="1"/>
        </w:numPr>
        <w:spacing w:after="80" w:line="276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уточнение;</w:t>
      </w:r>
    </w:p>
    <w:p>
      <w:pPr>
        <w:pStyle w:val="ListParagraph"/>
        <w:numPr>
          <w:ilvl w:val="0"/>
          <w:numId w:val="1"/>
        </w:numPr>
        <w:spacing w:after="80" w:line="276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извлечение;</w:t>
      </w:r>
    </w:p>
    <w:p>
      <w:pPr>
        <w:pStyle w:val="ListParagraph"/>
        <w:numPr>
          <w:ilvl w:val="0"/>
          <w:numId w:val="1"/>
        </w:numPr>
        <w:spacing w:after="80" w:line="276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использование;</w:t>
      </w:r>
    </w:p>
    <w:p>
      <w:pPr>
        <w:pStyle w:val="ListParagraph"/>
        <w:numPr>
          <w:ilvl w:val="0"/>
          <w:numId w:val="1"/>
        </w:numPr>
        <w:spacing w:after="80" w:line="276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передачу (предоставление, доступ) в случаях, предусмотренных настоящим документом, законодательством или необходимых для работы привлеченных обработчиков;</w:t>
      </w:r>
    </w:p>
    <w:p>
      <w:pPr>
        <w:pStyle w:val="ListParagraph"/>
        <w:numPr>
          <w:ilvl w:val="0"/>
          <w:numId w:val="1"/>
        </w:numPr>
        <w:spacing w:after="80" w:line="276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обезличивание;</w:t>
      </w:r>
    </w:p>
    <w:p>
      <w:pPr>
        <w:pStyle w:val="ListParagraph"/>
        <w:numPr>
          <w:ilvl w:val="0"/>
          <w:numId w:val="1"/>
        </w:numPr>
        <w:spacing w:after="80" w:line="276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блокирование;</w:t>
      </w:r>
    </w:p>
    <w:p>
      <w:pPr>
        <w:pStyle w:val="ListParagraph"/>
        <w:numPr>
          <w:ilvl w:val="0"/>
          <w:numId w:val="1"/>
        </w:numPr>
        <w:spacing w:after="80" w:line="276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удаление;</w:t>
      </w:r>
    </w:p>
    <w:p>
      <w:pPr>
        <w:pStyle w:val="ListParagraph"/>
        <w:numPr>
          <w:ilvl w:val="0"/>
          <w:numId w:val="1"/>
        </w:numPr>
        <w:spacing w:after="80" w:line="276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уничтожение.</w:t>
      </w:r>
    </w:p>
    <w:p>
      <w:pPr>
        <w:spacing w:after="16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Обработка может осуществляться автоматизированным и неавтоматизированным способом, с использованием средств автоматизации и без таковых, в случаях, предусмотренных законодательством.</w:t>
      </w:r>
    </w:p>
    <w:p>
      <w:pPr>
        <w:pStyle w:val="Heading1"/>
        <w:spacing w:after="160" w:before="360"/>
      </w:pPr>
      <w:r>
        <w:t xml:space="preserve">7. Передача данных третьим лицам, обработчики и трансграничная передача</w:t>
      </w:r>
    </w:p>
    <w:p>
      <w:pPr>
        <w:spacing w:after="16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7.1. KRYPTA не продает персональные данные Пользователей и не предоставляет их неограниченному кругу лиц.</w:t>
      </w:r>
    </w:p>
    <w:p>
      <w:pPr>
        <w:spacing w:after="16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7.2. Обработчики (подрядчики). Для обеспечения работы Сервиса Оператор вправе привлекать третьих лиц (обработчиков персональных данных) на основании договора, содержащего обязательство соблюдать конфиденциальность и требования законодательства о персональных данных, в частности:</w:t>
      </w:r>
    </w:p>
    <w:p>
      <w:pPr>
        <w:pStyle w:val="ListParagraph"/>
        <w:numPr>
          <w:ilvl w:val="0"/>
          <w:numId w:val="1"/>
        </w:numPr>
        <w:spacing w:after="80" w:line="276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хостинг- и облачный провайдер — ___________________________________;</w:t>
      </w:r>
    </w:p>
    <w:p>
      <w:pPr>
        <w:pStyle w:val="ListParagraph"/>
        <w:numPr>
          <w:ilvl w:val="0"/>
          <w:numId w:val="1"/>
        </w:numPr>
        <w:spacing w:after="80" w:line="276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платёжный агрегатор / платёжная система — ___________________________________;</w:t>
      </w:r>
    </w:p>
    <w:p>
      <w:pPr>
        <w:pStyle w:val="ListParagraph"/>
        <w:numPr>
          <w:ilvl w:val="0"/>
          <w:numId w:val="1"/>
        </w:numPr>
        <w:spacing w:after="80" w:line="276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сервис email- и push-рассылок — ___________________________________;</w:t>
      </w:r>
    </w:p>
    <w:p>
      <w:pPr>
        <w:pStyle w:val="ListParagraph"/>
        <w:numPr>
          <w:ilvl w:val="0"/>
          <w:numId w:val="1"/>
        </w:numPr>
        <w:spacing w:after="80" w:line="276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сервисы веб-аналитики — ___________________________________;</w:t>
      </w:r>
    </w:p>
    <w:p>
      <w:pPr>
        <w:pStyle w:val="ListParagraph"/>
        <w:numPr>
          <w:ilvl w:val="0"/>
          <w:numId w:val="1"/>
        </w:numPr>
        <w:spacing w:after="80" w:line="276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иные технические подрядчики, обеспечивающие функционирование Сервиса.</w:t>
      </w:r>
    </w:p>
    <w:p>
      <w:pPr>
        <w:spacing w:after="16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Актуальный перечень обработчиков публикуется и/или предоставляется по запросу по адресу: ___________________________________ либо по обращению на email, указанный в разделе 1 настоящего документа.</w:t>
      </w:r>
    </w:p>
    <w:p>
      <w:pPr>
        <w:spacing w:after="16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7.3. Трансграничная передача данных. Обработка персональных данных может осуществляться с использованием инфраструктуры (серверов, сетей доставки контента, облачных сервисов), расположенной за пределами территории Российской Федерации. Регистрируясь в Сервисе, Пользователь дает согласие на трансграничную передачу его персональных данных в объеме, необходимом для функционирования Сервиса, в том числе на территории иностранных государств, обеспечивающих адекватную защиту прав субъектов персональных данных, а при их отсутствии — с соблюдением требований части 4 статьи 12 Федерального закона № 152-ФЗ.</w:t>
      </w:r>
    </w:p>
    <w:p>
      <w:pPr>
        <w:spacing w:after="16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7.4. Передача данных также может осуществляться в случаях, прямо предусмотренных законодательством Российской Федерации (по мотивированному запросу уполномоченных государственных органов).</w:t>
      </w:r>
    </w:p>
    <w:p>
      <w:pPr>
        <w:pStyle w:val="Heading1"/>
        <w:spacing w:after="160" w:before="360"/>
      </w:pPr>
      <w:r>
        <w:t xml:space="preserve">8. Безопасность данных</w:t>
      </w:r>
    </w:p>
    <w:p>
      <w:pPr>
        <w:spacing w:after="16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Оператор принимает необходимые правовые, организационные и технические меры для защиты персональных данных от:</w:t>
      </w:r>
    </w:p>
    <w:p>
      <w:pPr>
        <w:pStyle w:val="ListParagraph"/>
        <w:numPr>
          <w:ilvl w:val="0"/>
          <w:numId w:val="1"/>
        </w:numPr>
        <w:spacing w:after="80" w:line="276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неправомерного доступа;</w:t>
      </w:r>
    </w:p>
    <w:p>
      <w:pPr>
        <w:pStyle w:val="ListParagraph"/>
        <w:numPr>
          <w:ilvl w:val="0"/>
          <w:numId w:val="1"/>
        </w:numPr>
        <w:spacing w:after="80" w:line="276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уничтожения;</w:t>
      </w:r>
    </w:p>
    <w:p>
      <w:pPr>
        <w:pStyle w:val="ListParagraph"/>
        <w:numPr>
          <w:ilvl w:val="0"/>
          <w:numId w:val="1"/>
        </w:numPr>
        <w:spacing w:after="80" w:line="276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изменения;</w:t>
      </w:r>
    </w:p>
    <w:p>
      <w:pPr>
        <w:pStyle w:val="ListParagraph"/>
        <w:numPr>
          <w:ilvl w:val="0"/>
          <w:numId w:val="1"/>
        </w:numPr>
        <w:spacing w:after="80" w:line="276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блокирования;</w:t>
      </w:r>
    </w:p>
    <w:p>
      <w:pPr>
        <w:pStyle w:val="ListParagraph"/>
        <w:numPr>
          <w:ilvl w:val="0"/>
          <w:numId w:val="1"/>
        </w:numPr>
        <w:spacing w:after="80" w:line="276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копирования;</w:t>
      </w:r>
    </w:p>
    <w:p>
      <w:pPr>
        <w:pStyle w:val="ListParagraph"/>
        <w:numPr>
          <w:ilvl w:val="0"/>
          <w:numId w:val="1"/>
        </w:numPr>
        <w:spacing w:after="80" w:line="276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распространения;</w:t>
      </w:r>
    </w:p>
    <w:p>
      <w:pPr>
        <w:pStyle w:val="ListParagraph"/>
        <w:numPr>
          <w:ilvl w:val="0"/>
          <w:numId w:val="1"/>
        </w:numPr>
        <w:spacing w:after="80" w:line="276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иных неправомерных действий.</w:t>
      </w:r>
    </w:p>
    <w:p>
      <w:pPr>
        <w:spacing w:after="16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/>
          <w:iCs/>
          <w:sz w:val="22"/>
          <w:szCs w:val="22"/>
        </w:rPr>
        <w:t xml:space="preserve">Федеральный закон № 152-ФЗ предусматривает обязанность оператора принимать меры по защите персональных данных и публиковать документ, определяющий политику их обработки.</w:t>
      </w:r>
    </w:p>
    <w:p>
      <w:pPr>
        <w:pStyle w:val="Heading1"/>
        <w:spacing w:after="160" w:before="360"/>
      </w:pPr>
      <w:r>
        <w:t xml:space="preserve">9. Запись обращений в службу поддержки</w:t>
      </w:r>
    </w:p>
    <w:p>
      <w:pPr>
        <w:spacing w:after="16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9.1. В целях контроля качества обслуживания и разрешения споров обращения Пользователя в службу поддержки (переписка, а при использовании телефонной или голосовой поддержки — запись разговора) могут фиксироваться и храниться Оператором.</w:t>
      </w:r>
    </w:p>
    <w:p>
      <w:pPr>
        <w:spacing w:after="16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9.2. Запись обращений используется исключительно для целей обучения персонала, контроля качества и разбора спорных ситуаций и не передается третьим лицам, за исключением случаев, предусмотренных разделом 7 настоящего документа.</w:t>
      </w:r>
    </w:p>
    <w:p>
      <w:pPr>
        <w:pStyle w:val="Heading1"/>
        <w:spacing w:after="160" w:before="360"/>
      </w:pPr>
      <w:r>
        <w:t xml:space="preserve">10. Срок обработки и хранения</w:t>
      </w:r>
    </w:p>
    <w:p>
      <w:pPr>
        <w:spacing w:after="16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10.1. Данные обрабатываются в течение срока, необходимого для достижения целей их обработки, с учетом следующих сроков хранения:</w:t>
      </w:r>
    </w:p>
    <w:p>
      <w:pPr>
        <w:pStyle w:val="ListParagraph"/>
        <w:numPr>
          <w:ilvl w:val="0"/>
          <w:numId w:val="1"/>
        </w:numPr>
        <w:spacing w:after="80" w:line="276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данные учетной записи — в течение всего срока существования учетной записи и в течение 5 (пяти) лет после её удаления (общий срок исковой давности по договорным обязательствам);</w:t>
      </w:r>
    </w:p>
    <w:p>
      <w:pPr>
        <w:pStyle w:val="ListParagraph"/>
        <w:numPr>
          <w:ilvl w:val="0"/>
          <w:numId w:val="1"/>
        </w:numPr>
        <w:spacing w:after="80" w:line="276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данные операций и транзакций, а также сформированные документы и отчеты — в течение 6 (шести) лет с момента их формирования (срок хранения документов для целей налогового учета в соответствии со статьей 29 Налогового кодекса РФ);</w:t>
      </w:r>
    </w:p>
    <w:p>
      <w:pPr>
        <w:pStyle w:val="ListParagraph"/>
        <w:numPr>
          <w:ilvl w:val="0"/>
          <w:numId w:val="1"/>
        </w:numPr>
        <w:spacing w:after="80" w:line="276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технические журналы (логи) — в течение 1 (одного) года с момента фиксации события;</w:t>
      </w:r>
    </w:p>
    <w:p>
      <w:pPr>
        <w:pStyle w:val="ListParagraph"/>
        <w:numPr>
          <w:ilvl w:val="0"/>
          <w:numId w:val="1"/>
        </w:numPr>
        <w:spacing w:after="80" w:line="276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файлы cookie — до 13 (тринадцати) месяцев с момента установки либо до их удаления Пользователем средствами браузера;</w:t>
      </w:r>
    </w:p>
    <w:p>
      <w:pPr>
        <w:pStyle w:val="ListParagraph"/>
        <w:numPr>
          <w:ilvl w:val="0"/>
          <w:numId w:val="1"/>
        </w:numPr>
        <w:spacing w:after="80" w:line="276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записи обращений в службу поддержки — в течение 1 (одного) года с момента обращения.</w:t>
      </w:r>
    </w:p>
    <w:p>
      <w:pPr>
        <w:spacing w:after="16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10.2. По истечении указанных сроков, а также после отзыва согласия при отсутствии иных законных оснований для обработки, данные подлежат удалению или уничтожению либо обезличиванию, если их дальнейшее хранение не требуется законодательством Российской Федерации.</w:t>
      </w:r>
    </w:p>
    <w:p>
      <w:pPr>
        <w:pStyle w:val="Heading1"/>
        <w:spacing w:after="160" w:before="360"/>
      </w:pPr>
      <w:r>
        <w:t xml:space="preserve">11. Права пользователя</w:t>
      </w:r>
    </w:p>
    <w:p>
      <w:pPr>
        <w:spacing w:after="16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Пользователь имеет право:</w:t>
      </w:r>
    </w:p>
    <w:p>
      <w:pPr>
        <w:pStyle w:val="ListParagraph"/>
        <w:numPr>
          <w:ilvl w:val="0"/>
          <w:numId w:val="1"/>
        </w:numPr>
        <w:spacing w:after="80" w:line="276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получать информацию об обработке своих персональных данных;</w:t>
      </w:r>
    </w:p>
    <w:p>
      <w:pPr>
        <w:pStyle w:val="ListParagraph"/>
        <w:numPr>
          <w:ilvl w:val="0"/>
          <w:numId w:val="1"/>
        </w:numPr>
        <w:spacing w:after="80" w:line="276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требовать уточнения неточных данных;</w:t>
      </w:r>
    </w:p>
    <w:p>
      <w:pPr>
        <w:pStyle w:val="ListParagraph"/>
        <w:numPr>
          <w:ilvl w:val="0"/>
          <w:numId w:val="1"/>
        </w:numPr>
        <w:spacing w:after="80" w:line="276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требовать блокирования или удаления данных при наличии предусмотренных законом оснований;</w:t>
      </w:r>
    </w:p>
    <w:p>
      <w:pPr>
        <w:pStyle w:val="ListParagraph"/>
        <w:numPr>
          <w:ilvl w:val="0"/>
          <w:numId w:val="1"/>
        </w:numPr>
        <w:spacing w:after="80" w:line="276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отозвать согласие на обработку персональных данных;</w:t>
      </w:r>
    </w:p>
    <w:p>
      <w:pPr>
        <w:pStyle w:val="ListParagraph"/>
        <w:numPr>
          <w:ilvl w:val="0"/>
          <w:numId w:val="1"/>
        </w:numPr>
        <w:spacing w:after="80" w:line="276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обращаться к Оператору по вопросам обработки персональных данных;</w:t>
      </w:r>
    </w:p>
    <w:p>
      <w:pPr>
        <w:pStyle w:val="ListParagraph"/>
        <w:numPr>
          <w:ilvl w:val="0"/>
          <w:numId w:val="1"/>
        </w:numPr>
        <w:spacing w:after="80" w:line="276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защищать свои права способами, предусмотренными законодательством Российской Федерации, включая обращение в Роскомнадзор и в суд.</w:t>
      </w:r>
    </w:p>
    <w:p>
      <w:pPr>
        <w:pStyle w:val="Heading1"/>
        <w:spacing w:after="160" w:before="360"/>
      </w:pPr>
      <w:r>
        <w:t xml:space="preserve">12. Отзыв согласия</w:t>
      </w:r>
    </w:p>
    <w:p>
      <w:pPr>
        <w:spacing w:after="16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12.1. Пользователь вправе отозвать согласие на обработку персональных данных.</w:t>
      </w:r>
    </w:p>
    <w:p>
      <w:pPr>
        <w:spacing w:after="16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12.2. Для этого Пользователь направляет обращение на адрес электронной почты Оператора, указанный в разделе 1 настоящего документа.</w:t>
      </w:r>
    </w:p>
    <w:p>
      <w:pPr>
        <w:spacing w:after="16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12.3. После получения обращения Оператор рассматривает его и принимает необходимые меры в срок, не превышающий 10 (десяти) рабочих дней, если иной срок не установлен законодательством Российской Федерации.</w:t>
      </w:r>
    </w:p>
    <w:p>
      <w:pPr>
        <w:spacing w:after="16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12.4. Отзыв согласия может привести к невозможности дальнейшего использования части или всего функционала KRYPTA, если соответствующие данные необходимы для работы Сервиса.</w:t>
      </w:r>
    </w:p>
    <w:p>
      <w:pPr>
        <w:spacing w:after="16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/>
          <w:iCs/>
          <w:sz w:val="22"/>
          <w:szCs w:val="22"/>
        </w:rPr>
        <w:t xml:space="preserve">Закон прямо предусматривает возможность отзыва согласия субъектом персональных данных, при этом в отдельных предусмотренных законом случаях (в частности, для исполнения обязанностей налогового и бухгалтерского учета) обработка отдельных данных может продолжаться на иных законных основаниях в течение сроков, указанных в разделе 10.</w:t>
      </w:r>
    </w:p>
    <w:p>
      <w:pPr>
        <w:pStyle w:val="Heading1"/>
        <w:spacing w:after="160" w:before="360"/>
      </w:pPr>
      <w:r>
        <w:t xml:space="preserve">13. Согласие на сервисные уведомления</w:t>
      </w:r>
    </w:p>
    <w:p>
      <w:pPr>
        <w:spacing w:after="16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Пользователь соглашается получать на указанный адрес электронной почты сервисные сообщения, связанные с:</w:t>
      </w:r>
    </w:p>
    <w:p>
      <w:pPr>
        <w:pStyle w:val="ListParagraph"/>
        <w:numPr>
          <w:ilvl w:val="0"/>
          <w:numId w:val="1"/>
        </w:numPr>
        <w:spacing w:after="80" w:line="276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регистрацией;</w:t>
      </w:r>
    </w:p>
    <w:p>
      <w:pPr>
        <w:pStyle w:val="ListParagraph"/>
        <w:numPr>
          <w:ilvl w:val="0"/>
          <w:numId w:val="1"/>
        </w:numPr>
        <w:spacing w:after="80" w:line="276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подтверждением учетной записи;</w:t>
      </w:r>
    </w:p>
    <w:p>
      <w:pPr>
        <w:pStyle w:val="ListParagraph"/>
        <w:numPr>
          <w:ilvl w:val="0"/>
          <w:numId w:val="1"/>
        </w:numPr>
        <w:spacing w:after="80" w:line="276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восстановлением доступа;</w:t>
      </w:r>
    </w:p>
    <w:p>
      <w:pPr>
        <w:pStyle w:val="ListParagraph"/>
        <w:numPr>
          <w:ilvl w:val="0"/>
          <w:numId w:val="1"/>
        </w:numPr>
        <w:spacing w:after="80" w:line="276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безопасностью учетной записи;</w:t>
      </w:r>
    </w:p>
    <w:p>
      <w:pPr>
        <w:pStyle w:val="ListParagraph"/>
        <w:numPr>
          <w:ilvl w:val="0"/>
          <w:numId w:val="1"/>
        </w:numPr>
        <w:spacing w:after="80" w:line="276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работой Сервиса;</w:t>
      </w:r>
    </w:p>
    <w:p>
      <w:pPr>
        <w:pStyle w:val="ListParagraph"/>
        <w:numPr>
          <w:ilvl w:val="0"/>
          <w:numId w:val="1"/>
        </w:numPr>
        <w:spacing w:after="80" w:line="276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изменениями, которые могут существенно влиять на использование KRYPTA;</w:t>
      </w:r>
    </w:p>
    <w:p>
      <w:pPr>
        <w:pStyle w:val="ListParagraph"/>
        <w:numPr>
          <w:ilvl w:val="0"/>
          <w:numId w:val="1"/>
        </w:numPr>
        <w:spacing w:after="80" w:line="276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оплатой, подпиской и доступом к тарифу.</w:t>
      </w:r>
    </w:p>
    <w:p>
      <w:pPr>
        <w:spacing w:after="16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Такие сообщения не обязательно являются рекламными и не требуют отдельного согласия на маркетинговую рассылку.</w:t>
      </w:r>
    </w:p>
    <w:p>
      <w:pPr>
        <w:pStyle w:val="Heading1"/>
        <w:spacing w:after="160" w:before="360"/>
      </w:pPr>
      <w:r>
        <w:t xml:space="preserve">14. Маркетинговые рассылки — отдельное согласие</w:t>
      </w:r>
    </w:p>
    <w:p>
      <w:pPr>
        <w:spacing w:after="16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Маркетинговая обработка персональных данных и прямые контакты в целях продвижения товаров, работ и услуг требуют отдельного правового основания / предварительного согласия и оформляются отдельным необязательным чекбоксом при регистрации, отдельно от основного согласия на обработку персональных данных:</w:t>
      </w:r>
    </w:p>
    <w:p>
      <w:pPr>
        <w:spacing w:after="160" w:line="276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☐  Я хочу получать новости KRYPTA, аналитические материалы, обновления продукта и специальные предложения на электронную почту. Я могу отказаться от рассылки в любой момент.</w:t>
      </w:r>
    </w:p>
    <w:p>
      <w:pPr>
        <w:pBdr>
          <w:left w:val="single" w:color="999999" w:sz="6" w:space="8"/>
        </w:pBdr>
        <w:spacing w:after="200" w:before="80"/>
        <w:ind w:left="200"/>
      </w:pPr>
      <w:r>
        <w:rPr>
          <w:rFonts w:ascii="Times New Roman" w:cs="Times New Roman" w:eastAsia="Times New Roman" w:hAnsi="Times New Roman"/>
          <w:i/>
          <w:iCs/>
          <w:color w:val="555555"/>
          <w:sz w:val="20"/>
          <w:szCs w:val="20"/>
        </w:rPr>
        <w:t xml:space="preserve">Перед публикацией документа: заполнить реквизиты Оператора и номер уведомления Роскомнадзора в разделе 1; заполнить перечень обработчиков в разделе 7; разместить отдельную Политику использования файлов cookie по указанной ссылке; провести финальную проверку документа юристом по защите персональных данных с учетом фактической инфраструктуры Сервиса.</w:t>
      </w:r>
    </w:p>
    <w:sectPr>
      <w:pgSz w:w="11906" w:h="16838" w:orient="portrait"/>
      <w:pgMar w:top="1134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1">
    <w:name w:val="Heading 1"/>
    <w:basedOn w:val="Normal"/>
    <w:next w:val="Normal"/>
    <w:qFormat/>
    <w:pPr>
      <w:spacing w:after="150" w:before="300"/>
    </w:pPr>
    <w:rPr>
      <w:rFonts w:ascii="Times New Roman" w:cs="Times New Roman" w:eastAsia="Times New Roman" w:hAnsi="Times New Roman"/>
      <w:b/>
      <w:bCs/>
      <w:color w:val="1F1F1F"/>
      <w:sz w:val="26"/>
      <w:szCs w:val="26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2026-08-30T08:20:01.077Z</dcterms:created>
  <dcterms:modified xsi:type="dcterms:W3CDTF">2026-08-30T08:20:01.077Z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