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120"/>
        <w:jc w:val="center"/>
      </w:pPr>
      <w:r>
        <w:t xml:space="preserve">ПУБЛИЧНАЯ ОФЕРТА</w:t>
      </w:r>
    </w:p>
    <w:p>
      <w:pPr>
        <w:spacing w:after="300"/>
        <w:jc w:val="center"/>
      </w:pPr>
      <w:r>
        <w:rPr>
          <w:rFonts w:ascii="Times New Roman" w:cs="Times New Roman" w:eastAsia="Times New Roman" w:hAnsi="Times New Roman"/>
          <w:b/>
          <w:bCs/>
          <w:sz w:val="24"/>
          <w:szCs w:val="24"/>
        </w:rPr>
        <w:t xml:space="preserve">на предоставление доступа к сервису KRYPTA</w:t>
      </w:r>
    </w:p>
    <w:p>
      <w:pPr>
        <w:spacing w:after="300"/>
        <w:jc w:val="center"/>
      </w:pPr>
      <w:r>
        <w:rPr>
          <w:rFonts w:ascii="Times New Roman" w:cs="Times New Roman" w:eastAsia="Times New Roman" w:hAnsi="Times New Roman"/>
          <w:i/>
          <w:iCs/>
          <w:sz w:val="22"/>
          <w:szCs w:val="22"/>
        </w:rPr>
        <w:t xml:space="preserve">Дата вступления в силу: «____» ________________ 20____ г.</w:t>
      </w:r>
    </w:p>
    <w:p>
      <w:pPr>
        <w:spacing w:after="160" w:line="276"/>
        <w:jc w:val="both"/>
      </w:pPr>
      <w:r>
        <w:rPr>
          <w:rFonts w:ascii="Times New Roman" w:cs="Times New Roman" w:eastAsia="Times New Roman" w:hAnsi="Times New Roman"/>
          <w:b w:val="false"/>
          <w:bCs w:val="false"/>
          <w:i w:val="false"/>
          <w:iCs w:val="false"/>
          <w:sz w:val="22"/>
          <w:szCs w:val="22"/>
        </w:rPr>
        <w:t xml:space="preserve">Настоящий документ представляет собой публичную оферту в значении статьи 437 Гражданского кодекса Российской Федерации и определяет условия использования информационного сервиса KRYPTA, включая условия оплаты, отмены подписки, возврата денежных средств и порядок разрешения споров.</w:t>
      </w:r>
    </w:p>
    <w:p>
      <w:pPr>
        <w:spacing w:after="160" w:line="276"/>
        <w:jc w:val="both"/>
      </w:pPr>
      <w:r>
        <w:rPr>
          <w:rFonts w:ascii="Times New Roman" w:cs="Times New Roman" w:eastAsia="Times New Roman" w:hAnsi="Times New Roman"/>
          <w:b w:val="false"/>
          <w:bCs w:val="false"/>
          <w:i w:val="false"/>
          <w:iCs w:val="false"/>
          <w:sz w:val="22"/>
          <w:szCs w:val="22"/>
        </w:rPr>
        <w:t xml:space="preserve">Используя Сервис, регистрируясь в Сервисе, создавая учетную запись, добавляя адреса цифровых кошельков, импортируя данные, приобретая платный тариф или иным способом начиная использование функционала KRYPTA, Пользователь подтверждает, что ознакомился с условиями настоящей Оферты и принимает их в полном объеме (акцепт оферты).</w:t>
      </w:r>
    </w:p>
    <w:p>
      <w:pPr>
        <w:pStyle w:val="Heading1"/>
        <w:spacing w:after="160" w:before="360"/>
      </w:pPr>
      <w:r>
        <w:t xml:space="preserve">1. Термины и определения</w:t>
      </w:r>
    </w:p>
    <w:p>
      <w:pPr>
        <w:spacing w:after="160" w:line="276"/>
        <w:jc w:val="both"/>
      </w:pPr>
      <w:r>
        <w:rPr>
          <w:rFonts w:ascii="Times New Roman" w:cs="Times New Roman" w:eastAsia="Times New Roman" w:hAnsi="Times New Roman"/>
          <w:b w:val="false"/>
          <w:bCs w:val="false"/>
          <w:i w:val="false"/>
          <w:iCs w:val="false"/>
          <w:sz w:val="22"/>
          <w:szCs w:val="22"/>
        </w:rPr>
        <w:t xml:space="preserve">KRYPTA / Сервис — программный информационно-аналитический сервис, доступный через сайт и/или иные интерфейсы Оператора.</w:t>
      </w:r>
    </w:p>
    <w:p>
      <w:pPr>
        <w:spacing w:after="160" w:line="276"/>
        <w:jc w:val="both"/>
      </w:pPr>
      <w:r>
        <w:rPr>
          <w:rFonts w:ascii="Times New Roman" w:cs="Times New Roman" w:eastAsia="Times New Roman" w:hAnsi="Times New Roman"/>
          <w:b w:val="false"/>
          <w:bCs w:val="false"/>
          <w:i w:val="false"/>
          <w:iCs w:val="false"/>
          <w:sz w:val="22"/>
          <w:szCs w:val="22"/>
        </w:rPr>
        <w:t xml:space="preserve">Оператор / Исполнитель — ________________________________________ (полное наименование юридического лица или индивидуального предпринимателя), предоставляющий доступ к Сервису KRYPTA. Реквизиты Оператора указаны в разделе 18 настоящей Оферты.</w:t>
      </w:r>
    </w:p>
    <w:p>
      <w:pPr>
        <w:spacing w:after="160" w:line="276"/>
        <w:jc w:val="both"/>
      </w:pPr>
      <w:r>
        <w:rPr>
          <w:rFonts w:ascii="Times New Roman" w:cs="Times New Roman" w:eastAsia="Times New Roman" w:hAnsi="Times New Roman"/>
          <w:b w:val="false"/>
          <w:bCs w:val="false"/>
          <w:i w:val="false"/>
          <w:iCs w:val="false"/>
          <w:sz w:val="22"/>
          <w:szCs w:val="22"/>
        </w:rPr>
        <w:t xml:space="preserve">Пользователь / Потребитель — физическое лицо, индивидуальный предприниматель или представитель юридического лица, использующий Сервис.</w:t>
      </w:r>
    </w:p>
    <w:p>
      <w:pPr>
        <w:spacing w:after="160" w:line="276"/>
        <w:jc w:val="both"/>
      </w:pPr>
      <w:r>
        <w:rPr>
          <w:rFonts w:ascii="Times New Roman" w:cs="Times New Roman" w:eastAsia="Times New Roman" w:hAnsi="Times New Roman"/>
          <w:b w:val="false"/>
          <w:bCs w:val="false"/>
          <w:i w:val="false"/>
          <w:iCs w:val="false"/>
          <w:sz w:val="22"/>
          <w:szCs w:val="22"/>
        </w:rPr>
        <w:t xml:space="preserve">Личный кабинет — персональный раздел Пользователя в Сервисе.</w:t>
      </w:r>
    </w:p>
    <w:p>
      <w:pPr>
        <w:spacing w:after="160" w:line="276"/>
        <w:jc w:val="both"/>
      </w:pPr>
      <w:r>
        <w:rPr>
          <w:rFonts w:ascii="Times New Roman" w:cs="Times New Roman" w:eastAsia="Times New Roman" w:hAnsi="Times New Roman"/>
          <w:b w:val="false"/>
          <w:bCs w:val="false"/>
          <w:i w:val="false"/>
          <w:iCs w:val="false"/>
          <w:sz w:val="22"/>
          <w:szCs w:val="22"/>
        </w:rPr>
        <w:t xml:space="preserve">Кошелек — публичный адрес цифрового кошелька или иной публичный идентификатор, добавленный Пользователем в Сервис.</w:t>
      </w:r>
    </w:p>
    <w:p>
      <w:pPr>
        <w:spacing w:after="160" w:line="276"/>
        <w:jc w:val="both"/>
      </w:pPr>
      <w:r>
        <w:rPr>
          <w:rFonts w:ascii="Times New Roman" w:cs="Times New Roman" w:eastAsia="Times New Roman" w:hAnsi="Times New Roman"/>
          <w:b w:val="false"/>
          <w:bCs w:val="false"/>
          <w:i w:val="false"/>
          <w:iCs w:val="false"/>
          <w:sz w:val="22"/>
          <w:szCs w:val="22"/>
        </w:rPr>
        <w:t xml:space="preserve">Данные операций — информация об операциях, транзакциях, цифровых активах, стоимости, датах операций и иные сведения, необходимые для работы аналитических функций Сервиса.</w:t>
      </w:r>
    </w:p>
    <w:p>
      <w:pPr>
        <w:spacing w:after="160" w:line="276"/>
        <w:jc w:val="both"/>
      </w:pPr>
      <w:r>
        <w:rPr>
          <w:rFonts w:ascii="Times New Roman" w:cs="Times New Roman" w:eastAsia="Times New Roman" w:hAnsi="Times New Roman"/>
          <w:b w:val="false"/>
          <w:bCs w:val="false"/>
          <w:i w:val="false"/>
          <w:iCs w:val="false"/>
          <w:sz w:val="22"/>
          <w:szCs w:val="22"/>
        </w:rPr>
        <w:t xml:space="preserve">Документы — отчеты, расчеты, выгрузки, справки, аналитические материалы и иные документы, сформированные Сервисом.</w:t>
      </w:r>
    </w:p>
    <w:p>
      <w:pPr>
        <w:spacing w:after="160" w:line="276"/>
        <w:jc w:val="both"/>
      </w:pPr>
      <w:r>
        <w:rPr>
          <w:rFonts w:ascii="Times New Roman" w:cs="Times New Roman" w:eastAsia="Times New Roman" w:hAnsi="Times New Roman"/>
          <w:b w:val="false"/>
          <w:bCs w:val="false"/>
          <w:i w:val="false"/>
          <w:iCs w:val="false"/>
          <w:sz w:val="22"/>
          <w:szCs w:val="22"/>
        </w:rPr>
        <w:t xml:space="preserve">Подписка — платный тариф с периодическим (рекуррентным) списанием денежных средств за продлеваемый период доступа к функционалу Сервиса.</w:t>
      </w:r>
    </w:p>
    <w:p>
      <w:pPr>
        <w:pStyle w:val="Heading1"/>
        <w:spacing w:after="160" w:before="360"/>
      </w:pPr>
      <w:r>
        <w:t xml:space="preserve">2. Предмет оферты</w:t>
      </w:r>
    </w:p>
    <w:p>
      <w:pPr>
        <w:spacing w:after="160" w:line="276"/>
        <w:jc w:val="both"/>
      </w:pPr>
      <w:r>
        <w:rPr>
          <w:rFonts w:ascii="Times New Roman" w:cs="Times New Roman" w:eastAsia="Times New Roman" w:hAnsi="Times New Roman"/>
          <w:b w:val="false"/>
          <w:bCs w:val="false"/>
          <w:i w:val="false"/>
          <w:iCs w:val="false"/>
          <w:sz w:val="22"/>
          <w:szCs w:val="22"/>
        </w:rPr>
        <w:t xml:space="preserve">2.1. Оператор предоставляет Пользователю доступ к функционалу KRYPTA на условиях настоящей Оферты.</w:t>
      </w:r>
    </w:p>
    <w:p>
      <w:pPr>
        <w:spacing w:after="160" w:line="276"/>
        <w:jc w:val="both"/>
      </w:pPr>
      <w:r>
        <w:rPr>
          <w:rFonts w:ascii="Times New Roman" w:cs="Times New Roman" w:eastAsia="Times New Roman" w:hAnsi="Times New Roman"/>
          <w:b w:val="false"/>
          <w:bCs w:val="false"/>
          <w:i w:val="false"/>
          <w:iCs w:val="false"/>
          <w:sz w:val="22"/>
          <w:szCs w:val="22"/>
        </w:rPr>
        <w:t xml:space="preserve">2.2. KRYPTA предназначен для:</w:t>
      </w:r>
    </w:p>
    <w:p>
      <w:pPr>
        <w:pStyle w:val="ListParagraph"/>
        <w:numPr>
          <w:ilvl w:val="0"/>
          <w:numId w:val="1"/>
        </w:numPr>
        <w:spacing w:after="80" w:line="276"/>
      </w:pPr>
      <w:r>
        <w:rPr>
          <w:rFonts w:ascii="Times New Roman" w:cs="Times New Roman" w:eastAsia="Times New Roman" w:hAnsi="Times New Roman"/>
          <w:sz w:val="22"/>
          <w:szCs w:val="22"/>
        </w:rPr>
        <w:t xml:space="preserve">учета и анализа информации о цифровых активах;</w:t>
      </w:r>
    </w:p>
    <w:p>
      <w:pPr>
        <w:pStyle w:val="ListParagraph"/>
        <w:numPr>
          <w:ilvl w:val="0"/>
          <w:numId w:val="1"/>
        </w:numPr>
        <w:spacing w:after="80" w:line="276"/>
      </w:pPr>
      <w:r>
        <w:rPr>
          <w:rFonts w:ascii="Times New Roman" w:cs="Times New Roman" w:eastAsia="Times New Roman" w:hAnsi="Times New Roman"/>
          <w:sz w:val="22"/>
          <w:szCs w:val="22"/>
        </w:rPr>
        <w:t xml:space="preserve">анализа операций и транзакций;</w:t>
      </w:r>
    </w:p>
    <w:p>
      <w:pPr>
        <w:pStyle w:val="ListParagraph"/>
        <w:numPr>
          <w:ilvl w:val="0"/>
          <w:numId w:val="1"/>
        </w:numPr>
        <w:spacing w:after="80" w:line="276"/>
      </w:pPr>
      <w:r>
        <w:rPr>
          <w:rFonts w:ascii="Times New Roman" w:cs="Times New Roman" w:eastAsia="Times New Roman" w:hAnsi="Times New Roman"/>
          <w:sz w:val="22"/>
          <w:szCs w:val="22"/>
        </w:rPr>
        <w:t xml:space="preserve">учета публичных адресов цифровых кошельков;</w:t>
      </w:r>
    </w:p>
    <w:p>
      <w:pPr>
        <w:pStyle w:val="ListParagraph"/>
        <w:numPr>
          <w:ilvl w:val="0"/>
          <w:numId w:val="1"/>
        </w:numPr>
        <w:spacing w:after="80" w:line="276"/>
      </w:pPr>
      <w:r>
        <w:rPr>
          <w:rFonts w:ascii="Times New Roman" w:cs="Times New Roman" w:eastAsia="Times New Roman" w:hAnsi="Times New Roman"/>
          <w:sz w:val="22"/>
          <w:szCs w:val="22"/>
        </w:rPr>
        <w:t xml:space="preserve">формирования аналитики;</w:t>
      </w:r>
    </w:p>
    <w:p>
      <w:pPr>
        <w:pStyle w:val="ListParagraph"/>
        <w:numPr>
          <w:ilvl w:val="0"/>
          <w:numId w:val="1"/>
        </w:numPr>
        <w:spacing w:after="80" w:line="276"/>
      </w:pPr>
      <w:r>
        <w:rPr>
          <w:rFonts w:ascii="Times New Roman" w:cs="Times New Roman" w:eastAsia="Times New Roman" w:hAnsi="Times New Roman"/>
          <w:sz w:val="22"/>
          <w:szCs w:val="22"/>
        </w:rPr>
        <w:t xml:space="preserve">расчета показателей на основании данных, доступных Пользователю и/или полученных из публичных источников;</w:t>
      </w:r>
    </w:p>
    <w:p>
      <w:pPr>
        <w:pStyle w:val="ListParagraph"/>
        <w:numPr>
          <w:ilvl w:val="0"/>
          <w:numId w:val="1"/>
        </w:numPr>
        <w:spacing w:after="80" w:line="276"/>
      </w:pPr>
      <w:r>
        <w:rPr>
          <w:rFonts w:ascii="Times New Roman" w:cs="Times New Roman" w:eastAsia="Times New Roman" w:hAnsi="Times New Roman"/>
          <w:sz w:val="22"/>
          <w:szCs w:val="22"/>
        </w:rPr>
        <w:t xml:space="preserve">ведения истории операций;</w:t>
      </w:r>
    </w:p>
    <w:p>
      <w:pPr>
        <w:pStyle w:val="ListParagraph"/>
        <w:numPr>
          <w:ilvl w:val="0"/>
          <w:numId w:val="1"/>
        </w:numPr>
        <w:spacing w:after="80" w:line="276"/>
      </w:pPr>
      <w:r>
        <w:rPr>
          <w:rFonts w:ascii="Times New Roman" w:cs="Times New Roman" w:eastAsia="Times New Roman" w:hAnsi="Times New Roman"/>
          <w:sz w:val="22"/>
          <w:szCs w:val="22"/>
        </w:rPr>
        <w:t xml:space="preserve">формирования отчетов и документов;</w:t>
      </w:r>
    </w:p>
    <w:p>
      <w:pPr>
        <w:pStyle w:val="ListParagraph"/>
        <w:numPr>
          <w:ilvl w:val="0"/>
          <w:numId w:val="1"/>
        </w:numPr>
        <w:spacing w:after="80" w:line="276"/>
      </w:pPr>
      <w:r>
        <w:rPr>
          <w:rFonts w:ascii="Times New Roman" w:cs="Times New Roman" w:eastAsia="Times New Roman" w:hAnsi="Times New Roman"/>
          <w:sz w:val="22"/>
          <w:szCs w:val="22"/>
        </w:rPr>
        <w:t xml:space="preserve">помощи Пользователю в систематизации данных для целей самостоятельного учета и подготовки информации;</w:t>
      </w:r>
    </w:p>
    <w:p>
      <w:pPr>
        <w:pStyle w:val="ListParagraph"/>
        <w:numPr>
          <w:ilvl w:val="0"/>
          <w:numId w:val="1"/>
        </w:numPr>
        <w:spacing w:after="80" w:line="276"/>
      </w:pPr>
      <w:r>
        <w:rPr>
          <w:rFonts w:ascii="Times New Roman" w:cs="Times New Roman" w:eastAsia="Times New Roman" w:hAnsi="Times New Roman"/>
          <w:sz w:val="22"/>
          <w:szCs w:val="22"/>
        </w:rPr>
        <w:t xml:space="preserve">использования дополнительных аналитических функций Сервиса в зависимости от выбранного тарифа.</w:t>
      </w:r>
    </w:p>
    <w:p>
      <w:pPr>
        <w:spacing w:after="160" w:line="276"/>
        <w:jc w:val="both"/>
      </w:pPr>
      <w:r>
        <w:rPr>
          <w:rFonts w:ascii="Times New Roman" w:cs="Times New Roman" w:eastAsia="Times New Roman" w:hAnsi="Times New Roman"/>
          <w:b w:val="false"/>
          <w:bCs w:val="false"/>
          <w:i w:val="false"/>
          <w:iCs w:val="false"/>
          <w:sz w:val="22"/>
          <w:szCs w:val="22"/>
        </w:rPr>
        <w:t xml:space="preserve">2.3. Конкретный набор функций зависит от версии Сервиса и выбранного Пользователем тарифа.</w:t>
      </w:r>
    </w:p>
    <w:p>
      <w:pPr>
        <w:spacing w:after="160" w:line="276"/>
        <w:jc w:val="both"/>
      </w:pPr>
      <w:r>
        <w:rPr>
          <w:rFonts w:ascii="Times New Roman" w:cs="Times New Roman" w:eastAsia="Times New Roman" w:hAnsi="Times New Roman"/>
          <w:b w:val="false"/>
          <w:bCs w:val="false"/>
          <w:i w:val="false"/>
          <w:iCs w:val="false"/>
          <w:sz w:val="22"/>
          <w:szCs w:val="22"/>
        </w:rPr>
        <w:t xml:space="preserve">2.4. Оператор вправе развивать, изменять, дополнять или прекращать отдельные функции Сервиса, если это необходимо для развития продукта, обеспечения безопасности, соблюдения законодательства или технической стабильности.</w:t>
      </w:r>
    </w:p>
    <w:p>
      <w:pPr>
        <w:pStyle w:val="Heading1"/>
        <w:spacing w:after="160" w:before="360"/>
      </w:pPr>
      <w:r>
        <w:t xml:space="preserve">3. Правовой статус KRYPTA</w:t>
      </w:r>
    </w:p>
    <w:p>
      <w:pPr>
        <w:spacing w:after="160" w:line="276"/>
        <w:jc w:val="both"/>
      </w:pPr>
      <w:r>
        <w:rPr>
          <w:rFonts w:ascii="Times New Roman" w:cs="Times New Roman" w:eastAsia="Times New Roman" w:hAnsi="Times New Roman"/>
          <w:b w:val="false"/>
          <w:bCs w:val="false"/>
          <w:i w:val="false"/>
          <w:iCs w:val="false"/>
          <w:sz w:val="22"/>
          <w:szCs w:val="22"/>
        </w:rPr>
        <w:t xml:space="preserve">3.1. KRYPTA является информационно-аналитическим программным сервисом.</w:t>
      </w:r>
    </w:p>
    <w:p>
      <w:pPr>
        <w:spacing w:after="160" w:line="276"/>
        <w:jc w:val="both"/>
      </w:pPr>
      <w:r>
        <w:rPr>
          <w:rFonts w:ascii="Times New Roman" w:cs="Times New Roman" w:eastAsia="Times New Roman" w:hAnsi="Times New Roman"/>
          <w:b w:val="false"/>
          <w:bCs w:val="false"/>
          <w:i w:val="false"/>
          <w:iCs w:val="false"/>
          <w:sz w:val="22"/>
          <w:szCs w:val="22"/>
        </w:rPr>
        <w:t xml:space="preserve">3.2. Информация, расчеты, аналитика, уведомления, подсказки и документы, сформированные Сервисом:</w:t>
      </w:r>
    </w:p>
    <w:p>
      <w:pPr>
        <w:pStyle w:val="ListParagraph"/>
        <w:numPr>
          <w:ilvl w:val="0"/>
          <w:numId w:val="1"/>
        </w:numPr>
        <w:spacing w:after="80" w:line="276"/>
      </w:pPr>
      <w:r>
        <w:rPr>
          <w:rFonts w:ascii="Times New Roman" w:cs="Times New Roman" w:eastAsia="Times New Roman" w:hAnsi="Times New Roman"/>
          <w:sz w:val="22"/>
          <w:szCs w:val="22"/>
        </w:rPr>
        <w:t xml:space="preserve">не являются индивидуальной юридической консультацией;</w:t>
      </w:r>
    </w:p>
    <w:p>
      <w:pPr>
        <w:pStyle w:val="ListParagraph"/>
        <w:numPr>
          <w:ilvl w:val="0"/>
          <w:numId w:val="1"/>
        </w:numPr>
        <w:spacing w:after="80" w:line="276"/>
      </w:pPr>
      <w:r>
        <w:rPr>
          <w:rFonts w:ascii="Times New Roman" w:cs="Times New Roman" w:eastAsia="Times New Roman" w:hAnsi="Times New Roman"/>
          <w:sz w:val="22"/>
          <w:szCs w:val="22"/>
        </w:rPr>
        <w:t xml:space="preserve">не являются аудиторским заключением;</w:t>
      </w:r>
    </w:p>
    <w:p>
      <w:pPr>
        <w:pStyle w:val="ListParagraph"/>
        <w:numPr>
          <w:ilvl w:val="0"/>
          <w:numId w:val="1"/>
        </w:numPr>
        <w:spacing w:after="80" w:line="276"/>
      </w:pPr>
      <w:r>
        <w:rPr>
          <w:rFonts w:ascii="Times New Roman" w:cs="Times New Roman" w:eastAsia="Times New Roman" w:hAnsi="Times New Roman"/>
          <w:sz w:val="22"/>
          <w:szCs w:val="22"/>
        </w:rPr>
        <w:t xml:space="preserve">не являются гарантией правильности налогового расчета;</w:t>
      </w:r>
    </w:p>
    <w:p>
      <w:pPr>
        <w:pStyle w:val="ListParagraph"/>
        <w:numPr>
          <w:ilvl w:val="0"/>
          <w:numId w:val="1"/>
        </w:numPr>
        <w:spacing w:after="80" w:line="276"/>
      </w:pPr>
      <w:r>
        <w:rPr>
          <w:rFonts w:ascii="Times New Roman" w:cs="Times New Roman" w:eastAsia="Times New Roman" w:hAnsi="Times New Roman"/>
          <w:sz w:val="22"/>
          <w:szCs w:val="22"/>
        </w:rPr>
        <w:t xml:space="preserve">не являются гарантией отсутствия претензий со стороны государственных органов, банков, финансовых организаций или иных лиц;</w:t>
      </w:r>
    </w:p>
    <w:p>
      <w:pPr>
        <w:pStyle w:val="ListParagraph"/>
        <w:numPr>
          <w:ilvl w:val="0"/>
          <w:numId w:val="1"/>
        </w:numPr>
        <w:spacing w:after="80" w:line="276"/>
      </w:pPr>
      <w:r>
        <w:rPr>
          <w:rFonts w:ascii="Times New Roman" w:cs="Times New Roman" w:eastAsia="Times New Roman" w:hAnsi="Times New Roman"/>
          <w:sz w:val="22"/>
          <w:szCs w:val="22"/>
        </w:rPr>
        <w:t xml:space="preserve">не заменяют консультацию квалифицированного юриста, налогового консультанта или бухгалтера.</w:t>
      </w:r>
    </w:p>
    <w:p>
      <w:pPr>
        <w:spacing w:after="160" w:line="276"/>
        <w:jc w:val="both"/>
      </w:pPr>
      <w:r>
        <w:rPr>
          <w:rFonts w:ascii="Times New Roman" w:cs="Times New Roman" w:eastAsia="Times New Roman" w:hAnsi="Times New Roman"/>
          <w:b w:val="false"/>
          <w:bCs w:val="false"/>
          <w:i w:val="false"/>
          <w:iCs w:val="false"/>
          <w:sz w:val="22"/>
          <w:szCs w:val="22"/>
        </w:rPr>
        <w:t xml:space="preserve">3.3. Пользователь самостоятельно принимает решения на основании информации, предоставляемой Сервисом.</w:t>
      </w:r>
    </w:p>
    <w:p>
      <w:pPr>
        <w:spacing w:after="160" w:line="276"/>
        <w:jc w:val="both"/>
      </w:pPr>
      <w:r>
        <w:rPr>
          <w:rFonts w:ascii="Times New Roman" w:cs="Times New Roman" w:eastAsia="Times New Roman" w:hAnsi="Times New Roman"/>
          <w:b w:val="false"/>
          <w:bCs w:val="false"/>
          <w:i w:val="false"/>
          <w:iCs w:val="false"/>
          <w:sz w:val="22"/>
          <w:szCs w:val="22"/>
        </w:rPr>
        <w:t xml:space="preserve">3.4. Пользователь самостоятельно несет ответственность за:</w:t>
      </w:r>
    </w:p>
    <w:p>
      <w:pPr>
        <w:pStyle w:val="ListParagraph"/>
        <w:numPr>
          <w:ilvl w:val="0"/>
          <w:numId w:val="1"/>
        </w:numPr>
        <w:spacing w:after="80" w:line="276"/>
      </w:pPr>
      <w:r>
        <w:rPr>
          <w:rFonts w:ascii="Times New Roman" w:cs="Times New Roman" w:eastAsia="Times New Roman" w:hAnsi="Times New Roman"/>
          <w:sz w:val="22"/>
          <w:szCs w:val="22"/>
        </w:rPr>
        <w:t xml:space="preserve">достоверность введенных данных;</w:t>
      </w:r>
    </w:p>
    <w:p>
      <w:pPr>
        <w:pStyle w:val="ListParagraph"/>
        <w:numPr>
          <w:ilvl w:val="0"/>
          <w:numId w:val="1"/>
        </w:numPr>
        <w:spacing w:after="80" w:line="276"/>
      </w:pPr>
      <w:r>
        <w:rPr>
          <w:rFonts w:ascii="Times New Roman" w:cs="Times New Roman" w:eastAsia="Times New Roman" w:hAnsi="Times New Roman"/>
          <w:sz w:val="22"/>
          <w:szCs w:val="22"/>
        </w:rPr>
        <w:t xml:space="preserve">корректность классификации операций;</w:t>
      </w:r>
    </w:p>
    <w:p>
      <w:pPr>
        <w:pStyle w:val="ListParagraph"/>
        <w:numPr>
          <w:ilvl w:val="0"/>
          <w:numId w:val="1"/>
        </w:numPr>
        <w:spacing w:after="80" w:line="276"/>
      </w:pPr>
      <w:r>
        <w:rPr>
          <w:rFonts w:ascii="Times New Roman" w:cs="Times New Roman" w:eastAsia="Times New Roman" w:hAnsi="Times New Roman"/>
          <w:sz w:val="22"/>
          <w:szCs w:val="22"/>
        </w:rPr>
        <w:t xml:space="preserve">своевременность предоставления документов и деклараций;</w:t>
      </w:r>
    </w:p>
    <w:p>
      <w:pPr>
        <w:pStyle w:val="ListParagraph"/>
        <w:numPr>
          <w:ilvl w:val="0"/>
          <w:numId w:val="1"/>
        </w:numPr>
        <w:spacing w:after="80" w:line="276"/>
      </w:pPr>
      <w:r>
        <w:rPr>
          <w:rFonts w:ascii="Times New Roman" w:cs="Times New Roman" w:eastAsia="Times New Roman" w:hAnsi="Times New Roman"/>
          <w:sz w:val="22"/>
          <w:szCs w:val="22"/>
        </w:rPr>
        <w:t xml:space="preserve">исполнение налоговых обязанностей;</w:t>
      </w:r>
    </w:p>
    <w:p>
      <w:pPr>
        <w:pStyle w:val="ListParagraph"/>
        <w:numPr>
          <w:ilvl w:val="0"/>
          <w:numId w:val="1"/>
        </w:numPr>
        <w:spacing w:after="80" w:line="276"/>
      </w:pPr>
      <w:r>
        <w:rPr>
          <w:rFonts w:ascii="Times New Roman" w:cs="Times New Roman" w:eastAsia="Times New Roman" w:hAnsi="Times New Roman"/>
          <w:sz w:val="22"/>
          <w:szCs w:val="22"/>
        </w:rPr>
        <w:t xml:space="preserve">соблюдение требований законодательства Российской Федерации и иных применимых норм.</w:t>
      </w:r>
    </w:p>
    <w:p>
      <w:pPr>
        <w:spacing w:after="160" w:line="276"/>
        <w:jc w:val="both"/>
      </w:pPr>
      <w:r>
        <w:rPr>
          <w:rFonts w:ascii="Times New Roman" w:cs="Times New Roman" w:eastAsia="Times New Roman" w:hAnsi="Times New Roman"/>
          <w:b w:val="false"/>
          <w:bCs w:val="false"/>
          <w:i w:val="false"/>
          <w:iCs w:val="false"/>
          <w:sz w:val="22"/>
          <w:szCs w:val="22"/>
        </w:rPr>
        <w:t xml:space="preserve">3.5. Оператор не является банком, криптовалютной биржей, брокером, оператором обмена цифровых активов, инвестиционным советником или налоговым агентом, если прямо не указано иное в отдельном договоре.</w:t>
      </w:r>
    </w:p>
    <w:p>
      <w:pPr>
        <w:pStyle w:val="Heading1"/>
        <w:spacing w:after="160" w:before="360"/>
      </w:pPr>
      <w:r>
        <w:t xml:space="preserve">4. Статус Сервиса по законодательству о цифровых финансовых активах и ПОД/ФТ</w:t>
      </w:r>
    </w:p>
    <w:p>
      <w:pPr>
        <w:spacing w:after="160" w:line="276"/>
        <w:jc w:val="both"/>
      </w:pPr>
      <w:r>
        <w:rPr>
          <w:rFonts w:ascii="Times New Roman" w:cs="Times New Roman" w:eastAsia="Times New Roman" w:hAnsi="Times New Roman"/>
          <w:b w:val="false"/>
          <w:bCs w:val="false"/>
          <w:i w:val="false"/>
          <w:iCs w:val="false"/>
          <w:sz w:val="22"/>
          <w:szCs w:val="22"/>
        </w:rPr>
        <w:t xml:space="preserve">4.1. KRYPTA не является оператором обмена цифровой валюты, оператором информационной системы, в которой осуществляется выпуск цифровых финансовых активов, цифровым депозитарием, брокером, дилером, форекс-дилером или иным профессиональным участником рынка ценных бумаг, а также не включена и не обязана быть включена в соответствующие реестры Центрального банка Российской Федерации.</w:t>
      </w:r>
    </w:p>
    <w:p>
      <w:pPr>
        <w:spacing w:after="160" w:line="276"/>
        <w:jc w:val="both"/>
      </w:pPr>
      <w:r>
        <w:rPr>
          <w:rFonts w:ascii="Times New Roman" w:cs="Times New Roman" w:eastAsia="Times New Roman" w:hAnsi="Times New Roman"/>
          <w:b w:val="false"/>
          <w:bCs w:val="false"/>
          <w:i w:val="false"/>
          <w:iCs w:val="false"/>
          <w:sz w:val="22"/>
          <w:szCs w:val="22"/>
        </w:rPr>
        <w:t xml:space="preserve">4.2. Сервис не осуществляет операции с цифровой валютой, цифровыми финансовыми активами или иными цифровыми активами от имени и по поручению Пользователя, не выступает стороной таких операций и не является организатором торгов.</w:t>
      </w:r>
    </w:p>
    <w:p>
      <w:pPr>
        <w:spacing w:after="160" w:line="276"/>
        <w:jc w:val="both"/>
      </w:pPr>
      <w:r>
        <w:rPr>
          <w:rFonts w:ascii="Times New Roman" w:cs="Times New Roman" w:eastAsia="Times New Roman" w:hAnsi="Times New Roman"/>
          <w:b w:val="false"/>
          <w:bCs w:val="false"/>
          <w:i w:val="false"/>
          <w:iCs w:val="false"/>
          <w:sz w:val="22"/>
          <w:szCs w:val="22"/>
        </w:rPr>
        <w:t xml:space="preserve">4.3. KRYPTA не является субъектом, на которого распространяются требования Федерального закона от 07.08.2001 № 115-ФЗ «О противодействии легализации (отмыванию) доходов, полученных преступным путем, и финансированию терроризма», не проводит идентификацию (KYC) Пользователей в целях указанного закона и не направляет сведения о подозрительных операциях в уполномоченный орган (Росфинмониторинг).</w:t>
      </w:r>
    </w:p>
    <w:p>
      <w:pPr>
        <w:spacing w:after="160" w:line="276"/>
        <w:jc w:val="both"/>
      </w:pPr>
      <w:r>
        <w:rPr>
          <w:rFonts w:ascii="Times New Roman" w:cs="Times New Roman" w:eastAsia="Times New Roman" w:hAnsi="Times New Roman"/>
          <w:b w:val="false"/>
          <w:bCs w:val="false"/>
          <w:i w:val="false"/>
          <w:iCs w:val="false"/>
          <w:sz w:val="22"/>
          <w:szCs w:val="22"/>
        </w:rPr>
        <w:t xml:space="preserve">4.4. Пользователь самостоятельно несет ответственность за соблюдение требований валютного, налогового законодательства и законодательства о противодействии отмыванию доходов при совершении операций с цифровыми активами вне Сервиса.</w:t>
      </w:r>
    </w:p>
    <w:p>
      <w:pPr>
        <w:pStyle w:val="Heading1"/>
        <w:spacing w:after="160" w:before="360"/>
      </w:pPr>
      <w:r>
        <w:t xml:space="preserve">5. Регистрация в сервисе</w:t>
      </w:r>
    </w:p>
    <w:p>
      <w:pPr>
        <w:spacing w:after="160" w:line="276"/>
        <w:jc w:val="both"/>
      </w:pPr>
      <w:r>
        <w:rPr>
          <w:rFonts w:ascii="Times New Roman" w:cs="Times New Roman" w:eastAsia="Times New Roman" w:hAnsi="Times New Roman"/>
          <w:b w:val="false"/>
          <w:bCs w:val="false"/>
          <w:i w:val="false"/>
          <w:iCs w:val="false"/>
          <w:sz w:val="22"/>
          <w:szCs w:val="22"/>
        </w:rPr>
        <w:t xml:space="preserve">5.1. Для использования части функционала Пользователь создает учетную запись.</w:t>
      </w:r>
    </w:p>
    <w:p>
      <w:pPr>
        <w:spacing w:after="160" w:line="276"/>
        <w:jc w:val="both"/>
      </w:pPr>
      <w:r>
        <w:rPr>
          <w:rFonts w:ascii="Times New Roman" w:cs="Times New Roman" w:eastAsia="Times New Roman" w:hAnsi="Times New Roman"/>
          <w:b w:val="false"/>
          <w:bCs w:val="false"/>
          <w:i w:val="false"/>
          <w:iCs w:val="false"/>
          <w:sz w:val="22"/>
          <w:szCs w:val="22"/>
        </w:rPr>
        <w:t xml:space="preserve">5.2. Сервис не предназначен для лиц младше 18 лет. Регистрируясь, Пользователь подтверждает, что является совершеннолетним дееспособным лицом либо законным представителем юридического лица. Если Оператору станет известно об использовании Сервиса лицом младше 18 лет без согласия законного представителя, Оператор вправе заблокировать соответствующую учетную запись.</w:t>
      </w:r>
    </w:p>
    <w:p>
      <w:pPr>
        <w:spacing w:after="160" w:line="276"/>
        <w:jc w:val="both"/>
      </w:pPr>
      <w:r>
        <w:rPr>
          <w:rFonts w:ascii="Times New Roman" w:cs="Times New Roman" w:eastAsia="Times New Roman" w:hAnsi="Times New Roman"/>
          <w:b w:val="false"/>
          <w:bCs w:val="false"/>
          <w:i w:val="false"/>
          <w:iCs w:val="false"/>
          <w:sz w:val="22"/>
          <w:szCs w:val="22"/>
        </w:rPr>
        <w:t xml:space="preserve">5.3. При регистрации Пользователь может предоставить следующие данные:</w:t>
      </w:r>
    </w:p>
    <w:p>
      <w:pPr>
        <w:pStyle w:val="ListParagraph"/>
        <w:numPr>
          <w:ilvl w:val="0"/>
          <w:numId w:val="1"/>
        </w:numPr>
        <w:spacing w:after="80" w:line="276"/>
      </w:pPr>
      <w:r>
        <w:rPr>
          <w:rFonts w:ascii="Times New Roman" w:cs="Times New Roman" w:eastAsia="Times New Roman" w:hAnsi="Times New Roman"/>
          <w:sz w:val="22"/>
          <w:szCs w:val="22"/>
        </w:rPr>
        <w:t xml:space="preserve">адрес электронной почты;</w:t>
      </w:r>
    </w:p>
    <w:p>
      <w:pPr>
        <w:pStyle w:val="ListParagraph"/>
        <w:numPr>
          <w:ilvl w:val="0"/>
          <w:numId w:val="1"/>
        </w:numPr>
        <w:spacing w:after="80" w:line="276"/>
      </w:pPr>
      <w:r>
        <w:rPr>
          <w:rFonts w:ascii="Times New Roman" w:cs="Times New Roman" w:eastAsia="Times New Roman" w:hAnsi="Times New Roman"/>
          <w:sz w:val="22"/>
          <w:szCs w:val="22"/>
        </w:rPr>
        <w:t xml:space="preserve">пароль для доступа к учетной записи;</w:t>
      </w:r>
    </w:p>
    <w:p>
      <w:pPr>
        <w:pStyle w:val="ListParagraph"/>
        <w:numPr>
          <w:ilvl w:val="0"/>
          <w:numId w:val="1"/>
        </w:numPr>
        <w:spacing w:after="80" w:line="276"/>
      </w:pPr>
      <w:r>
        <w:rPr>
          <w:rFonts w:ascii="Times New Roman" w:cs="Times New Roman" w:eastAsia="Times New Roman" w:hAnsi="Times New Roman"/>
          <w:sz w:val="22"/>
          <w:szCs w:val="22"/>
        </w:rPr>
        <w:t xml:space="preserve">иные сведения, необходимые для работы конкретного функционала.</w:t>
      </w:r>
    </w:p>
    <w:p>
      <w:pPr>
        <w:spacing w:after="160" w:line="276"/>
        <w:jc w:val="both"/>
      </w:pPr>
      <w:r>
        <w:rPr>
          <w:rFonts w:ascii="Times New Roman" w:cs="Times New Roman" w:eastAsia="Times New Roman" w:hAnsi="Times New Roman"/>
          <w:b w:val="false"/>
          <w:bCs w:val="false"/>
          <w:i w:val="false"/>
          <w:iCs w:val="false"/>
          <w:sz w:val="22"/>
          <w:szCs w:val="22"/>
        </w:rPr>
        <w:t xml:space="preserve">5.4. Адрес электронной почты используется для:</w:t>
      </w:r>
    </w:p>
    <w:p>
      <w:pPr>
        <w:pStyle w:val="ListParagraph"/>
        <w:numPr>
          <w:ilvl w:val="0"/>
          <w:numId w:val="1"/>
        </w:numPr>
        <w:spacing w:after="80" w:line="276"/>
      </w:pPr>
      <w:r>
        <w:rPr>
          <w:rFonts w:ascii="Times New Roman" w:cs="Times New Roman" w:eastAsia="Times New Roman" w:hAnsi="Times New Roman"/>
          <w:sz w:val="22"/>
          <w:szCs w:val="22"/>
        </w:rPr>
        <w:t xml:space="preserve">создания и идентификации учетной записи;</w:t>
      </w:r>
    </w:p>
    <w:p>
      <w:pPr>
        <w:pStyle w:val="ListParagraph"/>
        <w:numPr>
          <w:ilvl w:val="0"/>
          <w:numId w:val="1"/>
        </w:numPr>
        <w:spacing w:after="80" w:line="276"/>
      </w:pPr>
      <w:r>
        <w:rPr>
          <w:rFonts w:ascii="Times New Roman" w:cs="Times New Roman" w:eastAsia="Times New Roman" w:hAnsi="Times New Roman"/>
          <w:sz w:val="22"/>
          <w:szCs w:val="22"/>
        </w:rPr>
        <w:t xml:space="preserve">подтверждения регистрации;</w:t>
      </w:r>
    </w:p>
    <w:p>
      <w:pPr>
        <w:pStyle w:val="ListParagraph"/>
        <w:numPr>
          <w:ilvl w:val="0"/>
          <w:numId w:val="1"/>
        </w:numPr>
        <w:spacing w:after="80" w:line="276"/>
      </w:pPr>
      <w:r>
        <w:rPr>
          <w:rFonts w:ascii="Times New Roman" w:cs="Times New Roman" w:eastAsia="Times New Roman" w:hAnsi="Times New Roman"/>
          <w:sz w:val="22"/>
          <w:szCs w:val="22"/>
        </w:rPr>
        <w:t xml:space="preserve">восстановления доступа;</w:t>
      </w:r>
    </w:p>
    <w:p>
      <w:pPr>
        <w:pStyle w:val="ListParagraph"/>
        <w:numPr>
          <w:ilvl w:val="0"/>
          <w:numId w:val="1"/>
        </w:numPr>
        <w:spacing w:after="80" w:line="276"/>
      </w:pPr>
      <w:r>
        <w:rPr>
          <w:rFonts w:ascii="Times New Roman" w:cs="Times New Roman" w:eastAsia="Times New Roman" w:hAnsi="Times New Roman"/>
          <w:sz w:val="22"/>
          <w:szCs w:val="22"/>
        </w:rPr>
        <w:t xml:space="preserve">направления сервисных уведомлений;</w:t>
      </w:r>
    </w:p>
    <w:p>
      <w:pPr>
        <w:pStyle w:val="ListParagraph"/>
        <w:numPr>
          <w:ilvl w:val="0"/>
          <w:numId w:val="1"/>
        </w:numPr>
        <w:spacing w:after="80" w:line="276"/>
      </w:pPr>
      <w:r>
        <w:rPr>
          <w:rFonts w:ascii="Times New Roman" w:cs="Times New Roman" w:eastAsia="Times New Roman" w:hAnsi="Times New Roman"/>
          <w:sz w:val="22"/>
          <w:szCs w:val="22"/>
        </w:rPr>
        <w:t xml:space="preserve">информирования о важных изменениях, связанных с использованием Сервиса;</w:t>
      </w:r>
    </w:p>
    <w:p>
      <w:pPr>
        <w:pStyle w:val="ListParagraph"/>
        <w:numPr>
          <w:ilvl w:val="0"/>
          <w:numId w:val="1"/>
        </w:numPr>
        <w:spacing w:after="80" w:line="276"/>
      </w:pPr>
      <w:r>
        <w:rPr>
          <w:rFonts w:ascii="Times New Roman" w:cs="Times New Roman" w:eastAsia="Times New Roman" w:hAnsi="Times New Roman"/>
          <w:sz w:val="22"/>
          <w:szCs w:val="22"/>
        </w:rPr>
        <w:t xml:space="preserve">взаимодействия со службой поддержки.</w:t>
      </w:r>
    </w:p>
    <w:p>
      <w:pPr>
        <w:spacing w:after="160" w:line="276"/>
        <w:jc w:val="both"/>
      </w:pPr>
      <w:r>
        <w:rPr>
          <w:rFonts w:ascii="Times New Roman" w:cs="Times New Roman" w:eastAsia="Times New Roman" w:hAnsi="Times New Roman"/>
          <w:b w:val="false"/>
          <w:bCs w:val="false"/>
          <w:i w:val="false"/>
          <w:iCs w:val="false"/>
          <w:sz w:val="22"/>
          <w:szCs w:val="22"/>
        </w:rPr>
        <w:t xml:space="preserve">5.5. Пользователь обязан предоставлять достоверный адрес электронной почты, к которому имеет законный доступ.</w:t>
      </w:r>
    </w:p>
    <w:p>
      <w:pPr>
        <w:spacing w:after="160" w:line="276"/>
        <w:jc w:val="both"/>
      </w:pPr>
      <w:r>
        <w:rPr>
          <w:rFonts w:ascii="Times New Roman" w:cs="Times New Roman" w:eastAsia="Times New Roman" w:hAnsi="Times New Roman"/>
          <w:b w:val="false"/>
          <w:bCs w:val="false"/>
          <w:i w:val="false"/>
          <w:iCs w:val="false"/>
          <w:sz w:val="22"/>
          <w:szCs w:val="22"/>
        </w:rPr>
        <w:t xml:space="preserve">5.6. Пользователь самостоятельно обеспечивает конфиденциальность данных для входа в учетную запись.</w:t>
      </w:r>
    </w:p>
    <w:p>
      <w:pPr>
        <w:spacing w:after="160" w:line="276"/>
        <w:jc w:val="both"/>
      </w:pPr>
      <w:r>
        <w:rPr>
          <w:rFonts w:ascii="Times New Roman" w:cs="Times New Roman" w:eastAsia="Times New Roman" w:hAnsi="Times New Roman"/>
          <w:b w:val="false"/>
          <w:bCs w:val="false"/>
          <w:i w:val="false"/>
          <w:iCs w:val="false"/>
          <w:sz w:val="22"/>
          <w:szCs w:val="22"/>
        </w:rPr>
        <w:t xml:space="preserve">5.7. Пользователь не вправе передавать доступ к своей учетной записи третьим лицам, если такая возможность прямо не предусмотрена тарифом или функционалом Сервиса.</w:t>
      </w:r>
    </w:p>
    <w:p>
      <w:pPr>
        <w:spacing w:after="160" w:line="276"/>
        <w:jc w:val="both"/>
      </w:pPr>
      <w:r>
        <w:rPr>
          <w:rFonts w:ascii="Times New Roman" w:cs="Times New Roman" w:eastAsia="Times New Roman" w:hAnsi="Times New Roman"/>
          <w:b w:val="false"/>
          <w:bCs w:val="false"/>
          <w:i w:val="false"/>
          <w:iCs w:val="false"/>
          <w:sz w:val="22"/>
          <w:szCs w:val="22"/>
        </w:rPr>
        <w:t xml:space="preserve">5.8. Пробный период. Если Оператором предусмотрен бесплатный пробный период, он предоставляется однократно на один адрес электронной почты / одного Пользователя. По окончании пробного периода, если Пользователь не отменил подписку, доступ автоматически продолжается на условиях выбранного платного тарифа с списанием денежных средств в соответствии с разделом 11 настоящей Оферты.</w:t>
      </w:r>
    </w:p>
    <w:p>
      <w:pPr>
        <w:pStyle w:val="Heading1"/>
        <w:spacing w:after="160" w:before="360"/>
      </w:pPr>
      <w:r>
        <w:t xml:space="preserve">6. Пароли и безопасность учетной записи</w:t>
      </w:r>
    </w:p>
    <w:p>
      <w:pPr>
        <w:spacing w:after="160" w:line="276"/>
        <w:jc w:val="both"/>
      </w:pPr>
      <w:r>
        <w:rPr>
          <w:rFonts w:ascii="Times New Roman" w:cs="Times New Roman" w:eastAsia="Times New Roman" w:hAnsi="Times New Roman"/>
          <w:b w:val="false"/>
          <w:bCs w:val="false"/>
          <w:i w:val="false"/>
          <w:iCs w:val="false"/>
          <w:sz w:val="22"/>
          <w:szCs w:val="22"/>
        </w:rPr>
        <w:t xml:space="preserve">6.1. KRYPTA не использует пароль Пользователя для доступа к его криптовалютным кошелькам.</w:t>
      </w:r>
    </w:p>
    <w:p>
      <w:pPr>
        <w:spacing w:after="160" w:line="276"/>
        <w:jc w:val="both"/>
      </w:pPr>
      <w:r>
        <w:rPr>
          <w:rFonts w:ascii="Times New Roman" w:cs="Times New Roman" w:eastAsia="Times New Roman" w:hAnsi="Times New Roman"/>
          <w:b w:val="false"/>
          <w:bCs w:val="false"/>
          <w:i w:val="false"/>
          <w:iCs w:val="false"/>
          <w:sz w:val="22"/>
          <w:szCs w:val="22"/>
        </w:rPr>
        <w:t xml:space="preserve">6.2. Пароль от учетной записи KRYPTA используется исключительно для аутентификации Пользователя в Сервисе.</w:t>
      </w:r>
    </w:p>
    <w:p>
      <w:pPr>
        <w:spacing w:after="160" w:line="276"/>
        <w:jc w:val="both"/>
      </w:pPr>
      <w:r>
        <w:rPr>
          <w:rFonts w:ascii="Times New Roman" w:cs="Times New Roman" w:eastAsia="Times New Roman" w:hAnsi="Times New Roman"/>
          <w:b w:val="false"/>
          <w:bCs w:val="false"/>
          <w:i w:val="false"/>
          <w:iCs w:val="false"/>
          <w:sz w:val="22"/>
          <w:szCs w:val="22"/>
        </w:rPr>
        <w:t xml:space="preserve">6.3. Оператор не хранит пароль в открытом виде и не предоставляет его третьим лицам.</w:t>
      </w:r>
    </w:p>
    <w:p>
      <w:pPr>
        <w:spacing w:after="160" w:line="276"/>
        <w:jc w:val="both"/>
      </w:pPr>
      <w:r>
        <w:rPr>
          <w:rFonts w:ascii="Times New Roman" w:cs="Times New Roman" w:eastAsia="Times New Roman" w:hAnsi="Times New Roman"/>
          <w:b w:val="false"/>
          <w:bCs w:val="false"/>
          <w:i w:val="false"/>
          <w:iCs w:val="false"/>
          <w:sz w:val="22"/>
          <w:szCs w:val="22"/>
        </w:rPr>
        <w:t xml:space="preserve">6.4. Пароль используется в защищенной форме, необходимой для организации безопасной процедуры аутентификации Пользователя.</w:t>
      </w:r>
    </w:p>
    <w:p>
      <w:pPr>
        <w:spacing w:after="160" w:line="276"/>
        <w:jc w:val="both"/>
      </w:pPr>
      <w:r>
        <w:rPr>
          <w:rFonts w:ascii="Times New Roman" w:cs="Times New Roman" w:eastAsia="Times New Roman" w:hAnsi="Times New Roman"/>
          <w:b w:val="false"/>
          <w:bCs w:val="false"/>
          <w:i w:val="false"/>
          <w:iCs w:val="false"/>
          <w:sz w:val="22"/>
          <w:szCs w:val="22"/>
        </w:rPr>
        <w:t xml:space="preserve">6.5. В случае восстановления доступа Сервис не обязан предоставлять Пользователю исходный пароль. Восстановление доступа осуществляется путем предусмотренной Сервисом процедуры создания нового пароля или иной безопасной процедуры.</w:t>
      </w:r>
    </w:p>
    <w:p>
      <w:pPr>
        <w:spacing w:after="160" w:line="276"/>
        <w:jc w:val="both"/>
      </w:pPr>
      <w:r>
        <w:rPr>
          <w:rFonts w:ascii="Times New Roman" w:cs="Times New Roman" w:eastAsia="Times New Roman" w:hAnsi="Times New Roman"/>
          <w:b w:val="false"/>
          <w:bCs w:val="false"/>
          <w:i w:val="false"/>
          <w:iCs w:val="false"/>
          <w:sz w:val="22"/>
          <w:szCs w:val="22"/>
        </w:rPr>
        <w:t xml:space="preserve">6.6. Пользователь обязан:</w:t>
      </w:r>
    </w:p>
    <w:p>
      <w:pPr>
        <w:pStyle w:val="ListParagraph"/>
        <w:numPr>
          <w:ilvl w:val="0"/>
          <w:numId w:val="1"/>
        </w:numPr>
        <w:spacing w:after="80" w:line="276"/>
      </w:pPr>
      <w:r>
        <w:rPr>
          <w:rFonts w:ascii="Times New Roman" w:cs="Times New Roman" w:eastAsia="Times New Roman" w:hAnsi="Times New Roman"/>
          <w:sz w:val="22"/>
          <w:szCs w:val="22"/>
        </w:rPr>
        <w:t xml:space="preserve">не сообщать пароль третьим лицам;</w:t>
      </w:r>
    </w:p>
    <w:p>
      <w:pPr>
        <w:pStyle w:val="ListParagraph"/>
        <w:numPr>
          <w:ilvl w:val="0"/>
          <w:numId w:val="1"/>
        </w:numPr>
        <w:spacing w:after="80" w:line="276"/>
      </w:pPr>
      <w:r>
        <w:rPr>
          <w:rFonts w:ascii="Times New Roman" w:cs="Times New Roman" w:eastAsia="Times New Roman" w:hAnsi="Times New Roman"/>
          <w:sz w:val="22"/>
          <w:szCs w:val="22"/>
        </w:rPr>
        <w:t xml:space="preserve">использовать надежный пароль;</w:t>
      </w:r>
    </w:p>
    <w:p>
      <w:pPr>
        <w:pStyle w:val="ListParagraph"/>
        <w:numPr>
          <w:ilvl w:val="0"/>
          <w:numId w:val="1"/>
        </w:numPr>
        <w:spacing w:after="80" w:line="276"/>
      </w:pPr>
      <w:r>
        <w:rPr>
          <w:rFonts w:ascii="Times New Roman" w:cs="Times New Roman" w:eastAsia="Times New Roman" w:hAnsi="Times New Roman"/>
          <w:sz w:val="22"/>
          <w:szCs w:val="22"/>
        </w:rPr>
        <w:t xml:space="preserve">незамедлительно сообщить Оператору о подозрении на несанкционированный доступ.</w:t>
      </w:r>
    </w:p>
    <w:p>
      <w:pPr>
        <w:pStyle w:val="Heading1"/>
        <w:spacing w:after="160" w:before="360"/>
      </w:pPr>
      <w:r>
        <w:t xml:space="preserve">7. Цифровые кошельки и публичные адреса</w:t>
      </w:r>
    </w:p>
    <w:p>
      <w:pPr>
        <w:spacing w:after="160" w:line="276"/>
        <w:jc w:val="both"/>
      </w:pPr>
      <w:r>
        <w:rPr>
          <w:rFonts w:ascii="Times New Roman" w:cs="Times New Roman" w:eastAsia="Times New Roman" w:hAnsi="Times New Roman"/>
          <w:b w:val="false"/>
          <w:bCs w:val="false"/>
          <w:i w:val="false"/>
          <w:iCs w:val="false"/>
          <w:sz w:val="22"/>
          <w:szCs w:val="22"/>
        </w:rPr>
        <w:t xml:space="preserve">7.1. Для работы с функционалом анализа Пользователь может добавить в KRYPTA публичный адрес цифрового кошелька.</w:t>
      </w:r>
    </w:p>
    <w:p>
      <w:pPr>
        <w:spacing w:after="160" w:line="276"/>
        <w:jc w:val="both"/>
      </w:pPr>
      <w:r>
        <w:rPr>
          <w:rFonts w:ascii="Times New Roman" w:cs="Times New Roman" w:eastAsia="Times New Roman" w:hAnsi="Times New Roman"/>
          <w:b w:val="false"/>
          <w:bCs w:val="false"/>
          <w:i w:val="false"/>
          <w:iCs w:val="false"/>
          <w:sz w:val="22"/>
          <w:szCs w:val="22"/>
        </w:rPr>
        <w:t xml:space="preserve">7.2. KRYPTA получает и использует только те данные о кошельке, которые необходимы для работы выбранного Пользователем функционала.</w:t>
      </w:r>
    </w:p>
    <w:p>
      <w:pPr>
        <w:spacing w:after="160" w:line="276"/>
        <w:jc w:val="both"/>
      </w:pPr>
      <w:r>
        <w:rPr>
          <w:rFonts w:ascii="Times New Roman" w:cs="Times New Roman" w:eastAsia="Times New Roman" w:hAnsi="Times New Roman"/>
          <w:b w:val="false"/>
          <w:bCs w:val="false"/>
          <w:i w:val="false"/>
          <w:iCs w:val="false"/>
          <w:sz w:val="22"/>
          <w:szCs w:val="22"/>
        </w:rPr>
        <w:t xml:space="preserve">7.3. Добавление публичного адреса кошелька не означает передачу Оператору контроля над цифровыми активами Пользователя.</w:t>
      </w:r>
    </w:p>
    <w:p>
      <w:pPr>
        <w:spacing w:after="160" w:line="276"/>
        <w:jc w:val="both"/>
      </w:pPr>
      <w:r>
        <w:rPr>
          <w:rFonts w:ascii="Times New Roman" w:cs="Times New Roman" w:eastAsia="Times New Roman" w:hAnsi="Times New Roman"/>
          <w:b w:val="false"/>
          <w:bCs w:val="false"/>
          <w:i w:val="false"/>
          <w:iCs w:val="false"/>
          <w:sz w:val="22"/>
          <w:szCs w:val="22"/>
        </w:rPr>
        <w:t xml:space="preserve">7.4. KRYPTA не требует и не должна запрашивать у Пользователя:</w:t>
      </w:r>
    </w:p>
    <w:p>
      <w:pPr>
        <w:pStyle w:val="ListParagraph"/>
        <w:numPr>
          <w:ilvl w:val="0"/>
          <w:numId w:val="1"/>
        </w:numPr>
        <w:spacing w:after="80" w:line="276"/>
      </w:pPr>
      <w:r>
        <w:rPr>
          <w:rFonts w:ascii="Times New Roman" w:cs="Times New Roman" w:eastAsia="Times New Roman" w:hAnsi="Times New Roman"/>
          <w:sz w:val="22"/>
          <w:szCs w:val="22"/>
        </w:rPr>
        <w:t xml:space="preserve">seed-фразу;</w:t>
      </w:r>
    </w:p>
    <w:p>
      <w:pPr>
        <w:pStyle w:val="ListParagraph"/>
        <w:numPr>
          <w:ilvl w:val="0"/>
          <w:numId w:val="1"/>
        </w:numPr>
        <w:spacing w:after="80" w:line="276"/>
      </w:pPr>
      <w:r>
        <w:rPr>
          <w:rFonts w:ascii="Times New Roman" w:cs="Times New Roman" w:eastAsia="Times New Roman" w:hAnsi="Times New Roman"/>
          <w:sz w:val="22"/>
          <w:szCs w:val="22"/>
        </w:rPr>
        <w:t xml:space="preserve">секретную фразу восстановления;</w:t>
      </w:r>
    </w:p>
    <w:p>
      <w:pPr>
        <w:pStyle w:val="ListParagraph"/>
        <w:numPr>
          <w:ilvl w:val="0"/>
          <w:numId w:val="1"/>
        </w:numPr>
        <w:spacing w:after="80" w:line="276"/>
      </w:pPr>
      <w:r>
        <w:rPr>
          <w:rFonts w:ascii="Times New Roman" w:cs="Times New Roman" w:eastAsia="Times New Roman" w:hAnsi="Times New Roman"/>
          <w:sz w:val="22"/>
          <w:szCs w:val="22"/>
        </w:rPr>
        <w:t xml:space="preserve">приватный ключ;</w:t>
      </w:r>
    </w:p>
    <w:p>
      <w:pPr>
        <w:pStyle w:val="ListParagraph"/>
        <w:numPr>
          <w:ilvl w:val="0"/>
          <w:numId w:val="1"/>
        </w:numPr>
        <w:spacing w:after="80" w:line="276"/>
      </w:pPr>
      <w:r>
        <w:rPr>
          <w:rFonts w:ascii="Times New Roman" w:cs="Times New Roman" w:eastAsia="Times New Roman" w:hAnsi="Times New Roman"/>
          <w:sz w:val="22"/>
          <w:szCs w:val="22"/>
        </w:rPr>
        <w:t xml:space="preserve">пароль от криптовалютного кошелька;</w:t>
      </w:r>
    </w:p>
    <w:p>
      <w:pPr>
        <w:pStyle w:val="ListParagraph"/>
        <w:numPr>
          <w:ilvl w:val="0"/>
          <w:numId w:val="1"/>
        </w:numPr>
        <w:spacing w:after="80" w:line="276"/>
      </w:pPr>
      <w:r>
        <w:rPr>
          <w:rFonts w:ascii="Times New Roman" w:cs="Times New Roman" w:eastAsia="Times New Roman" w:hAnsi="Times New Roman"/>
          <w:sz w:val="22"/>
          <w:szCs w:val="22"/>
        </w:rPr>
        <w:t xml:space="preserve">иные данные, предоставление которых позволяет распоряжаться цифровыми активами.</w:t>
      </w:r>
    </w:p>
    <w:p>
      <w:pPr>
        <w:spacing w:after="160" w:line="276"/>
        <w:jc w:val="both"/>
      </w:pPr>
      <w:r>
        <w:rPr>
          <w:rFonts w:ascii="Times New Roman" w:cs="Times New Roman" w:eastAsia="Times New Roman" w:hAnsi="Times New Roman"/>
          <w:b w:val="false"/>
          <w:bCs w:val="false"/>
          <w:i w:val="false"/>
          <w:iCs w:val="false"/>
          <w:sz w:val="22"/>
          <w:szCs w:val="22"/>
        </w:rPr>
        <w:t xml:space="preserve">7.5. Пользователь не должен передавать Оператору seed-фразы, приватные ключи или иные секретные данные доступа к цифровым активам.</w:t>
      </w:r>
    </w:p>
    <w:p>
      <w:pPr>
        <w:spacing w:after="160" w:line="276"/>
        <w:jc w:val="both"/>
      </w:pPr>
      <w:r>
        <w:rPr>
          <w:rFonts w:ascii="Times New Roman" w:cs="Times New Roman" w:eastAsia="Times New Roman" w:hAnsi="Times New Roman"/>
          <w:b w:val="false"/>
          <w:bCs w:val="false"/>
          <w:i w:val="false"/>
          <w:iCs w:val="false"/>
          <w:sz w:val="22"/>
          <w:szCs w:val="22"/>
        </w:rPr>
        <w:t xml:space="preserve">7.6. Если Пользователь самостоятельно передал такие данные через сторонний канал, форму или сообщение, Оператор не несет ответственности за последствия их передачи, если такие данные не запрашивались Сервисом.</w:t>
      </w:r>
    </w:p>
    <w:p>
      <w:pPr>
        <w:spacing w:after="160" w:line="276"/>
        <w:jc w:val="both"/>
      </w:pPr>
      <w:r>
        <w:rPr>
          <w:rFonts w:ascii="Times New Roman" w:cs="Times New Roman" w:eastAsia="Times New Roman" w:hAnsi="Times New Roman"/>
          <w:b w:val="false"/>
          <w:bCs w:val="false"/>
          <w:i w:val="false"/>
          <w:iCs w:val="false"/>
          <w:sz w:val="22"/>
          <w:szCs w:val="22"/>
        </w:rPr>
        <w:t xml:space="preserve">7.7. Публичный адрес кошелька используется исключительно для целей, связанных с функционалом Сервиса, включая:</w:t>
      </w:r>
    </w:p>
    <w:p>
      <w:pPr>
        <w:pStyle w:val="ListParagraph"/>
        <w:numPr>
          <w:ilvl w:val="0"/>
          <w:numId w:val="1"/>
        </w:numPr>
        <w:spacing w:after="80" w:line="276"/>
      </w:pPr>
      <w:r>
        <w:rPr>
          <w:rFonts w:ascii="Times New Roman" w:cs="Times New Roman" w:eastAsia="Times New Roman" w:hAnsi="Times New Roman"/>
          <w:sz w:val="22"/>
          <w:szCs w:val="22"/>
        </w:rPr>
        <w:t xml:space="preserve">получение доступной информации о транзакциях;</w:t>
      </w:r>
    </w:p>
    <w:p>
      <w:pPr>
        <w:pStyle w:val="ListParagraph"/>
        <w:numPr>
          <w:ilvl w:val="0"/>
          <w:numId w:val="1"/>
        </w:numPr>
        <w:spacing w:after="80" w:line="276"/>
      </w:pPr>
      <w:r>
        <w:rPr>
          <w:rFonts w:ascii="Times New Roman" w:cs="Times New Roman" w:eastAsia="Times New Roman" w:hAnsi="Times New Roman"/>
          <w:sz w:val="22"/>
          <w:szCs w:val="22"/>
        </w:rPr>
        <w:t xml:space="preserve">анализ операций;</w:t>
      </w:r>
    </w:p>
    <w:p>
      <w:pPr>
        <w:pStyle w:val="ListParagraph"/>
        <w:numPr>
          <w:ilvl w:val="0"/>
          <w:numId w:val="1"/>
        </w:numPr>
        <w:spacing w:after="80" w:line="276"/>
      </w:pPr>
      <w:r>
        <w:rPr>
          <w:rFonts w:ascii="Times New Roman" w:cs="Times New Roman" w:eastAsia="Times New Roman" w:hAnsi="Times New Roman"/>
          <w:sz w:val="22"/>
          <w:szCs w:val="22"/>
        </w:rPr>
        <w:t xml:space="preserve">построение истории операций;</w:t>
      </w:r>
    </w:p>
    <w:p>
      <w:pPr>
        <w:pStyle w:val="ListParagraph"/>
        <w:numPr>
          <w:ilvl w:val="0"/>
          <w:numId w:val="1"/>
        </w:numPr>
        <w:spacing w:after="80" w:line="276"/>
      </w:pPr>
      <w:r>
        <w:rPr>
          <w:rFonts w:ascii="Times New Roman" w:cs="Times New Roman" w:eastAsia="Times New Roman" w:hAnsi="Times New Roman"/>
          <w:sz w:val="22"/>
          <w:szCs w:val="22"/>
        </w:rPr>
        <w:t xml:space="preserve">расчет и формирование аналитики;</w:t>
      </w:r>
    </w:p>
    <w:p>
      <w:pPr>
        <w:pStyle w:val="ListParagraph"/>
        <w:numPr>
          <w:ilvl w:val="0"/>
          <w:numId w:val="1"/>
        </w:numPr>
        <w:spacing w:after="80" w:line="276"/>
      </w:pPr>
      <w:r>
        <w:rPr>
          <w:rFonts w:ascii="Times New Roman" w:cs="Times New Roman" w:eastAsia="Times New Roman" w:hAnsi="Times New Roman"/>
          <w:sz w:val="22"/>
          <w:szCs w:val="22"/>
        </w:rPr>
        <w:t xml:space="preserve">подготовку отчетов;</w:t>
      </w:r>
    </w:p>
    <w:p>
      <w:pPr>
        <w:pStyle w:val="ListParagraph"/>
        <w:numPr>
          <w:ilvl w:val="0"/>
          <w:numId w:val="1"/>
        </w:numPr>
        <w:spacing w:after="80" w:line="276"/>
      </w:pPr>
      <w:r>
        <w:rPr>
          <w:rFonts w:ascii="Times New Roman" w:cs="Times New Roman" w:eastAsia="Times New Roman" w:hAnsi="Times New Roman"/>
          <w:sz w:val="22"/>
          <w:szCs w:val="22"/>
        </w:rPr>
        <w:t xml:space="preserve">работу функций контроля и мониторинга.</w:t>
      </w:r>
    </w:p>
    <w:p>
      <w:pPr>
        <w:spacing w:after="160" w:line="276"/>
        <w:jc w:val="both"/>
      </w:pPr>
      <w:r>
        <w:rPr>
          <w:rFonts w:ascii="Times New Roman" w:cs="Times New Roman" w:eastAsia="Times New Roman" w:hAnsi="Times New Roman"/>
          <w:b w:val="false"/>
          <w:bCs w:val="false"/>
          <w:i w:val="false"/>
          <w:iCs w:val="false"/>
          <w:sz w:val="22"/>
          <w:szCs w:val="22"/>
        </w:rPr>
        <w:t xml:space="preserve">7.8. KRYPTA не получает возможность подписывать транзакции от имени Пользователя и не получает право распоряжаться активами Пользователя.</w:t>
      </w:r>
    </w:p>
    <w:p>
      <w:pPr>
        <w:pStyle w:val="Heading1"/>
        <w:spacing w:after="160" w:before="360"/>
      </w:pPr>
      <w:r>
        <w:t xml:space="preserve">8. Данные транзакций и аналитика</w:t>
      </w:r>
    </w:p>
    <w:p>
      <w:pPr>
        <w:spacing w:after="160" w:line="276"/>
        <w:jc w:val="both"/>
      </w:pPr>
      <w:r>
        <w:rPr>
          <w:rFonts w:ascii="Times New Roman" w:cs="Times New Roman" w:eastAsia="Times New Roman" w:hAnsi="Times New Roman"/>
          <w:b w:val="false"/>
          <w:bCs w:val="false"/>
          <w:i w:val="false"/>
          <w:iCs w:val="false"/>
          <w:sz w:val="22"/>
          <w:szCs w:val="22"/>
        </w:rPr>
        <w:t xml:space="preserve">8.1. Сервис может обрабатывать данные:</w:t>
      </w:r>
    </w:p>
    <w:p>
      <w:pPr>
        <w:pStyle w:val="ListParagraph"/>
        <w:numPr>
          <w:ilvl w:val="0"/>
          <w:numId w:val="1"/>
        </w:numPr>
        <w:spacing w:after="80" w:line="276"/>
      </w:pPr>
      <w:r>
        <w:rPr>
          <w:rFonts w:ascii="Times New Roman" w:cs="Times New Roman" w:eastAsia="Times New Roman" w:hAnsi="Times New Roman"/>
          <w:sz w:val="22"/>
          <w:szCs w:val="22"/>
        </w:rPr>
        <w:t xml:space="preserve">добавленные Пользователем вручную;</w:t>
      </w:r>
    </w:p>
    <w:p>
      <w:pPr>
        <w:pStyle w:val="ListParagraph"/>
        <w:numPr>
          <w:ilvl w:val="0"/>
          <w:numId w:val="1"/>
        </w:numPr>
        <w:spacing w:after="80" w:line="276"/>
      </w:pPr>
      <w:r>
        <w:rPr>
          <w:rFonts w:ascii="Times New Roman" w:cs="Times New Roman" w:eastAsia="Times New Roman" w:hAnsi="Times New Roman"/>
          <w:sz w:val="22"/>
          <w:szCs w:val="22"/>
        </w:rPr>
        <w:t xml:space="preserve">импортированные Пользователем;</w:t>
      </w:r>
    </w:p>
    <w:p>
      <w:pPr>
        <w:pStyle w:val="ListParagraph"/>
        <w:numPr>
          <w:ilvl w:val="0"/>
          <w:numId w:val="1"/>
        </w:numPr>
        <w:spacing w:after="80" w:line="276"/>
      </w:pPr>
      <w:r>
        <w:rPr>
          <w:rFonts w:ascii="Times New Roman" w:cs="Times New Roman" w:eastAsia="Times New Roman" w:hAnsi="Times New Roman"/>
          <w:sz w:val="22"/>
          <w:szCs w:val="22"/>
        </w:rPr>
        <w:t xml:space="preserve">полученные из публично доступных источников;</w:t>
      </w:r>
    </w:p>
    <w:p>
      <w:pPr>
        <w:pStyle w:val="ListParagraph"/>
        <w:numPr>
          <w:ilvl w:val="0"/>
          <w:numId w:val="1"/>
        </w:numPr>
        <w:spacing w:after="80" w:line="276"/>
      </w:pPr>
      <w:r>
        <w:rPr>
          <w:rFonts w:ascii="Times New Roman" w:cs="Times New Roman" w:eastAsia="Times New Roman" w:hAnsi="Times New Roman"/>
          <w:sz w:val="22"/>
          <w:szCs w:val="22"/>
        </w:rPr>
        <w:t xml:space="preserve">полученные через подключенные Пользователем интеграции, если такой функционал предусмотрен.</w:t>
      </w:r>
    </w:p>
    <w:p>
      <w:pPr>
        <w:spacing w:after="160" w:line="276"/>
        <w:jc w:val="both"/>
      </w:pPr>
      <w:r>
        <w:rPr>
          <w:rFonts w:ascii="Times New Roman" w:cs="Times New Roman" w:eastAsia="Times New Roman" w:hAnsi="Times New Roman"/>
          <w:b w:val="false"/>
          <w:bCs w:val="false"/>
          <w:i w:val="false"/>
          <w:iCs w:val="false"/>
          <w:sz w:val="22"/>
          <w:szCs w:val="22"/>
        </w:rPr>
        <w:t xml:space="preserve">8.2. Пользователь понимает, что публичные блокчейн-данные могут быть доступны другим лицам независимо от использования KRYPTA.</w:t>
      </w:r>
    </w:p>
    <w:p>
      <w:pPr>
        <w:spacing w:after="160" w:line="276"/>
        <w:jc w:val="both"/>
      </w:pPr>
      <w:r>
        <w:rPr>
          <w:rFonts w:ascii="Times New Roman" w:cs="Times New Roman" w:eastAsia="Times New Roman" w:hAnsi="Times New Roman"/>
          <w:b w:val="false"/>
          <w:bCs w:val="false"/>
          <w:i w:val="false"/>
          <w:iCs w:val="false"/>
          <w:sz w:val="22"/>
          <w:szCs w:val="22"/>
        </w:rPr>
        <w:t xml:space="preserve">8.3. KRYPTA систематизирует и анализирует информацию в рамках предоставляемого функционала.</w:t>
      </w:r>
    </w:p>
    <w:p>
      <w:pPr>
        <w:spacing w:after="160" w:line="276"/>
        <w:jc w:val="both"/>
      </w:pPr>
      <w:r>
        <w:rPr>
          <w:rFonts w:ascii="Times New Roman" w:cs="Times New Roman" w:eastAsia="Times New Roman" w:hAnsi="Times New Roman"/>
          <w:b w:val="false"/>
          <w:bCs w:val="false"/>
          <w:i w:val="false"/>
          <w:iCs w:val="false"/>
          <w:sz w:val="22"/>
          <w:szCs w:val="22"/>
        </w:rPr>
        <w:t xml:space="preserve">8.4. Автоматическая классификация операций может носить вероятностный характер.</w:t>
      </w:r>
    </w:p>
    <w:p>
      <w:pPr>
        <w:spacing w:after="160" w:line="276"/>
        <w:jc w:val="both"/>
      </w:pPr>
      <w:r>
        <w:rPr>
          <w:rFonts w:ascii="Times New Roman" w:cs="Times New Roman" w:eastAsia="Times New Roman" w:hAnsi="Times New Roman"/>
          <w:b w:val="false"/>
          <w:bCs w:val="false"/>
          <w:i w:val="false"/>
          <w:iCs w:val="false"/>
          <w:sz w:val="22"/>
          <w:szCs w:val="22"/>
        </w:rPr>
        <w:t xml:space="preserve">8.5. Если операция требует дополнительного подтверждения, Пользователь обязан самостоятельно проверить соответствующие данные.</w:t>
      </w:r>
    </w:p>
    <w:p>
      <w:pPr>
        <w:spacing w:after="160" w:line="276"/>
        <w:jc w:val="both"/>
      </w:pPr>
      <w:r>
        <w:rPr>
          <w:rFonts w:ascii="Times New Roman" w:cs="Times New Roman" w:eastAsia="Times New Roman" w:hAnsi="Times New Roman"/>
          <w:b w:val="false"/>
          <w:bCs w:val="false"/>
          <w:i w:val="false"/>
          <w:iCs w:val="false"/>
          <w:sz w:val="22"/>
          <w:szCs w:val="22"/>
        </w:rPr>
        <w:t xml:space="preserve">8.6. Пользователь не должен рассматривать автоматическую классификацию как безусловное юридическое заключение.</w:t>
      </w:r>
    </w:p>
    <w:p>
      <w:pPr>
        <w:pStyle w:val="Heading1"/>
        <w:spacing w:after="160" w:before="360"/>
      </w:pPr>
      <w:r>
        <w:t xml:space="preserve">9. Данные третьих лиц</w:t>
      </w:r>
    </w:p>
    <w:p>
      <w:pPr>
        <w:spacing w:after="160" w:line="276"/>
        <w:jc w:val="both"/>
      </w:pPr>
      <w:r>
        <w:rPr>
          <w:rFonts w:ascii="Times New Roman" w:cs="Times New Roman" w:eastAsia="Times New Roman" w:hAnsi="Times New Roman"/>
          <w:b w:val="false"/>
          <w:bCs w:val="false"/>
          <w:i w:val="false"/>
          <w:iCs w:val="false"/>
          <w:sz w:val="22"/>
          <w:szCs w:val="22"/>
        </w:rPr>
        <w:t xml:space="preserve">9.1. Если Пользователь (в том числе бухгалтер, налоговый консультант или иной представитель) загружает, импортирует или иным образом вносит в Сервис данные, относящиеся к третьим лицам (в том числе персональные данные, адреса кошельков, данные операций третьих лиц), Пользователь гарантирует, что:</w:t>
      </w:r>
    </w:p>
    <w:p>
      <w:pPr>
        <w:pStyle w:val="ListParagraph"/>
        <w:numPr>
          <w:ilvl w:val="0"/>
          <w:numId w:val="1"/>
        </w:numPr>
        <w:spacing w:after="80" w:line="276"/>
      </w:pPr>
      <w:r>
        <w:rPr>
          <w:rFonts w:ascii="Times New Roman" w:cs="Times New Roman" w:eastAsia="Times New Roman" w:hAnsi="Times New Roman"/>
          <w:sz w:val="22"/>
          <w:szCs w:val="22"/>
        </w:rPr>
        <w:t xml:space="preserve">располагает законным основанием и, при необходимости, согласием такого третьего лица на обработку его данных в Сервисе;</w:t>
      </w:r>
    </w:p>
    <w:p>
      <w:pPr>
        <w:pStyle w:val="ListParagraph"/>
        <w:numPr>
          <w:ilvl w:val="0"/>
          <w:numId w:val="1"/>
        </w:numPr>
        <w:spacing w:after="80" w:line="276"/>
      </w:pPr>
      <w:r>
        <w:rPr>
          <w:rFonts w:ascii="Times New Roman" w:cs="Times New Roman" w:eastAsia="Times New Roman" w:hAnsi="Times New Roman"/>
          <w:sz w:val="22"/>
          <w:szCs w:val="22"/>
        </w:rPr>
        <w:t xml:space="preserve">вносит в Сервис только те данные третьих лиц, обработка которых необходима для целей, заявленных таким третьим лицом;</w:t>
      </w:r>
    </w:p>
    <w:p>
      <w:pPr>
        <w:pStyle w:val="ListParagraph"/>
        <w:numPr>
          <w:ilvl w:val="0"/>
          <w:numId w:val="1"/>
        </w:numPr>
        <w:spacing w:after="80" w:line="276"/>
      </w:pPr>
      <w:r>
        <w:rPr>
          <w:rFonts w:ascii="Times New Roman" w:cs="Times New Roman" w:eastAsia="Times New Roman" w:hAnsi="Times New Roman"/>
          <w:sz w:val="22"/>
          <w:szCs w:val="22"/>
        </w:rPr>
        <w:t xml:space="preserve">несет самостоятельную ответственность перед третьими лицами и уполномоченными органами за законность внесения и обработки таких данных.</w:t>
      </w:r>
    </w:p>
    <w:p>
      <w:pPr>
        <w:spacing w:after="160" w:line="276"/>
        <w:jc w:val="both"/>
      </w:pPr>
      <w:r>
        <w:rPr>
          <w:rFonts w:ascii="Times New Roman" w:cs="Times New Roman" w:eastAsia="Times New Roman" w:hAnsi="Times New Roman"/>
          <w:b w:val="false"/>
          <w:bCs w:val="false"/>
          <w:i w:val="false"/>
          <w:iCs w:val="false"/>
          <w:sz w:val="22"/>
          <w:szCs w:val="22"/>
        </w:rPr>
        <w:t xml:space="preserve">9.2. Оператор не проверяет наличие правовых оснований у Пользователя на внесение данных третьих лиц и не несет ответственности за нарушение Пользователем прав таких третьих лиц.</w:t>
      </w:r>
    </w:p>
    <w:p>
      <w:pPr>
        <w:spacing w:after="160" w:line="276"/>
        <w:jc w:val="both"/>
      </w:pPr>
      <w:r>
        <w:rPr>
          <w:rFonts w:ascii="Times New Roman" w:cs="Times New Roman" w:eastAsia="Times New Roman" w:hAnsi="Times New Roman"/>
          <w:b w:val="false"/>
          <w:bCs w:val="false"/>
          <w:i w:val="false"/>
          <w:iCs w:val="false"/>
          <w:sz w:val="22"/>
          <w:szCs w:val="22"/>
        </w:rPr>
        <w:t xml:space="preserve">9.3. При получении обоснованного требования третьего лица или уполномоченного органа Оператор вправе ограничить доступ к соответствующим данным до выяснения обстоятельств.</w:t>
      </w:r>
    </w:p>
    <w:p>
      <w:pPr>
        <w:pStyle w:val="Heading1"/>
        <w:spacing w:after="160" w:before="360"/>
      </w:pPr>
      <w:r>
        <w:t xml:space="preserve">10. Документы и отчеты</w:t>
      </w:r>
    </w:p>
    <w:p>
      <w:pPr>
        <w:spacing w:after="160" w:line="276"/>
        <w:jc w:val="both"/>
      </w:pPr>
      <w:r>
        <w:rPr>
          <w:rFonts w:ascii="Times New Roman" w:cs="Times New Roman" w:eastAsia="Times New Roman" w:hAnsi="Times New Roman"/>
          <w:b w:val="false"/>
          <w:bCs w:val="false"/>
          <w:i w:val="false"/>
          <w:iCs w:val="false"/>
          <w:sz w:val="22"/>
          <w:szCs w:val="22"/>
        </w:rPr>
        <w:t xml:space="preserve">10.1. KRYPTA может формировать:</w:t>
      </w:r>
    </w:p>
    <w:p>
      <w:pPr>
        <w:pStyle w:val="ListParagraph"/>
        <w:numPr>
          <w:ilvl w:val="0"/>
          <w:numId w:val="1"/>
        </w:numPr>
        <w:spacing w:after="80" w:line="276"/>
      </w:pPr>
      <w:r>
        <w:rPr>
          <w:rFonts w:ascii="Times New Roman" w:cs="Times New Roman" w:eastAsia="Times New Roman" w:hAnsi="Times New Roman"/>
          <w:sz w:val="22"/>
          <w:szCs w:val="22"/>
        </w:rPr>
        <w:t xml:space="preserve">аналитические отчеты;</w:t>
      </w:r>
    </w:p>
    <w:p>
      <w:pPr>
        <w:pStyle w:val="ListParagraph"/>
        <w:numPr>
          <w:ilvl w:val="0"/>
          <w:numId w:val="1"/>
        </w:numPr>
        <w:spacing w:after="80" w:line="276"/>
      </w:pPr>
      <w:r>
        <w:rPr>
          <w:rFonts w:ascii="Times New Roman" w:cs="Times New Roman" w:eastAsia="Times New Roman" w:hAnsi="Times New Roman"/>
          <w:sz w:val="22"/>
          <w:szCs w:val="22"/>
        </w:rPr>
        <w:t xml:space="preserve">налоговые расчеты;</w:t>
      </w:r>
    </w:p>
    <w:p>
      <w:pPr>
        <w:pStyle w:val="ListParagraph"/>
        <w:numPr>
          <w:ilvl w:val="0"/>
          <w:numId w:val="1"/>
        </w:numPr>
        <w:spacing w:after="80" w:line="276"/>
      </w:pPr>
      <w:r>
        <w:rPr>
          <w:rFonts w:ascii="Times New Roman" w:cs="Times New Roman" w:eastAsia="Times New Roman" w:hAnsi="Times New Roman"/>
          <w:sz w:val="22"/>
          <w:szCs w:val="22"/>
        </w:rPr>
        <w:t xml:space="preserve">сводки по операциям;</w:t>
      </w:r>
    </w:p>
    <w:p>
      <w:pPr>
        <w:pStyle w:val="ListParagraph"/>
        <w:numPr>
          <w:ilvl w:val="0"/>
          <w:numId w:val="1"/>
        </w:numPr>
        <w:spacing w:after="80" w:line="276"/>
      </w:pPr>
      <w:r>
        <w:rPr>
          <w:rFonts w:ascii="Times New Roman" w:cs="Times New Roman" w:eastAsia="Times New Roman" w:hAnsi="Times New Roman"/>
          <w:sz w:val="22"/>
          <w:szCs w:val="22"/>
        </w:rPr>
        <w:t xml:space="preserve">документы по истории операций;</w:t>
      </w:r>
    </w:p>
    <w:p>
      <w:pPr>
        <w:pStyle w:val="ListParagraph"/>
        <w:numPr>
          <w:ilvl w:val="0"/>
          <w:numId w:val="1"/>
        </w:numPr>
        <w:spacing w:after="80" w:line="276"/>
      </w:pPr>
      <w:r>
        <w:rPr>
          <w:rFonts w:ascii="Times New Roman" w:cs="Times New Roman" w:eastAsia="Times New Roman" w:hAnsi="Times New Roman"/>
          <w:sz w:val="22"/>
          <w:szCs w:val="22"/>
        </w:rPr>
        <w:t xml:space="preserve">выгрузки данных;</w:t>
      </w:r>
    </w:p>
    <w:p>
      <w:pPr>
        <w:pStyle w:val="ListParagraph"/>
        <w:numPr>
          <w:ilvl w:val="0"/>
          <w:numId w:val="1"/>
        </w:numPr>
        <w:spacing w:after="80" w:line="276"/>
      </w:pPr>
      <w:r>
        <w:rPr>
          <w:rFonts w:ascii="Times New Roman" w:cs="Times New Roman" w:eastAsia="Times New Roman" w:hAnsi="Times New Roman"/>
          <w:sz w:val="22"/>
          <w:szCs w:val="22"/>
        </w:rPr>
        <w:t xml:space="preserve">документы для самостоятельного использования Пользователем;</w:t>
      </w:r>
    </w:p>
    <w:p>
      <w:pPr>
        <w:pStyle w:val="ListParagraph"/>
        <w:numPr>
          <w:ilvl w:val="0"/>
          <w:numId w:val="1"/>
        </w:numPr>
        <w:spacing w:after="80" w:line="276"/>
      </w:pPr>
      <w:r>
        <w:rPr>
          <w:rFonts w:ascii="Times New Roman" w:cs="Times New Roman" w:eastAsia="Times New Roman" w:hAnsi="Times New Roman"/>
          <w:sz w:val="22"/>
          <w:szCs w:val="22"/>
        </w:rPr>
        <w:t xml:space="preserve">иные материалы, предусмотренные функционалом Сервиса.</w:t>
      </w:r>
    </w:p>
    <w:p>
      <w:pPr>
        <w:spacing w:after="160" w:line="276"/>
        <w:jc w:val="both"/>
      </w:pPr>
      <w:r>
        <w:rPr>
          <w:rFonts w:ascii="Times New Roman" w:cs="Times New Roman" w:eastAsia="Times New Roman" w:hAnsi="Times New Roman"/>
          <w:b w:val="false"/>
          <w:bCs w:val="false"/>
          <w:i w:val="false"/>
          <w:iCs w:val="false"/>
          <w:sz w:val="22"/>
          <w:szCs w:val="22"/>
        </w:rPr>
        <w:t xml:space="preserve">10.2. Документы формируются на основании:</w:t>
      </w:r>
    </w:p>
    <w:p>
      <w:pPr>
        <w:pStyle w:val="ListParagraph"/>
        <w:numPr>
          <w:ilvl w:val="0"/>
          <w:numId w:val="1"/>
        </w:numPr>
        <w:spacing w:after="80" w:line="276"/>
      </w:pPr>
      <w:r>
        <w:rPr>
          <w:rFonts w:ascii="Times New Roman" w:cs="Times New Roman" w:eastAsia="Times New Roman" w:hAnsi="Times New Roman"/>
          <w:sz w:val="22"/>
          <w:szCs w:val="22"/>
        </w:rPr>
        <w:t xml:space="preserve">данных Пользователя;</w:t>
      </w:r>
    </w:p>
    <w:p>
      <w:pPr>
        <w:pStyle w:val="ListParagraph"/>
        <w:numPr>
          <w:ilvl w:val="0"/>
          <w:numId w:val="1"/>
        </w:numPr>
        <w:spacing w:after="80" w:line="276"/>
      </w:pPr>
      <w:r>
        <w:rPr>
          <w:rFonts w:ascii="Times New Roman" w:cs="Times New Roman" w:eastAsia="Times New Roman" w:hAnsi="Times New Roman"/>
          <w:sz w:val="22"/>
          <w:szCs w:val="22"/>
        </w:rPr>
        <w:t xml:space="preserve">данных, импортированных Пользователем;</w:t>
      </w:r>
    </w:p>
    <w:p>
      <w:pPr>
        <w:pStyle w:val="ListParagraph"/>
        <w:numPr>
          <w:ilvl w:val="0"/>
          <w:numId w:val="1"/>
        </w:numPr>
        <w:spacing w:after="80" w:line="276"/>
      </w:pPr>
      <w:r>
        <w:rPr>
          <w:rFonts w:ascii="Times New Roman" w:cs="Times New Roman" w:eastAsia="Times New Roman" w:hAnsi="Times New Roman"/>
          <w:sz w:val="22"/>
          <w:szCs w:val="22"/>
        </w:rPr>
        <w:t xml:space="preserve">публично доступной информации;</w:t>
      </w:r>
    </w:p>
    <w:p>
      <w:pPr>
        <w:pStyle w:val="ListParagraph"/>
        <w:numPr>
          <w:ilvl w:val="0"/>
          <w:numId w:val="1"/>
        </w:numPr>
        <w:spacing w:after="80" w:line="276"/>
      </w:pPr>
      <w:r>
        <w:rPr>
          <w:rFonts w:ascii="Times New Roman" w:cs="Times New Roman" w:eastAsia="Times New Roman" w:hAnsi="Times New Roman"/>
          <w:sz w:val="22"/>
          <w:szCs w:val="22"/>
        </w:rPr>
        <w:t xml:space="preserve">алгоритмов Сервиса;</w:t>
      </w:r>
    </w:p>
    <w:p>
      <w:pPr>
        <w:pStyle w:val="ListParagraph"/>
        <w:numPr>
          <w:ilvl w:val="0"/>
          <w:numId w:val="1"/>
        </w:numPr>
        <w:spacing w:after="80" w:line="276"/>
      </w:pPr>
      <w:r>
        <w:rPr>
          <w:rFonts w:ascii="Times New Roman" w:cs="Times New Roman" w:eastAsia="Times New Roman" w:hAnsi="Times New Roman"/>
          <w:sz w:val="22"/>
          <w:szCs w:val="22"/>
        </w:rPr>
        <w:t xml:space="preserve">выбранных Пользователем параметров.</w:t>
      </w:r>
    </w:p>
    <w:p>
      <w:pPr>
        <w:spacing w:after="160" w:line="276"/>
        <w:jc w:val="both"/>
      </w:pPr>
      <w:r>
        <w:rPr>
          <w:rFonts w:ascii="Times New Roman" w:cs="Times New Roman" w:eastAsia="Times New Roman" w:hAnsi="Times New Roman"/>
          <w:b w:val="false"/>
          <w:bCs w:val="false"/>
          <w:i w:val="false"/>
          <w:iCs w:val="false"/>
          <w:sz w:val="22"/>
          <w:szCs w:val="22"/>
        </w:rPr>
        <w:t xml:space="preserve">10.3. Пользователь обязан проверить сформированные документы перед их использованием или направлением третьим лицам.</w:t>
      </w:r>
    </w:p>
    <w:p>
      <w:pPr>
        <w:spacing w:after="160" w:line="276"/>
        <w:jc w:val="both"/>
      </w:pPr>
      <w:r>
        <w:rPr>
          <w:rFonts w:ascii="Times New Roman" w:cs="Times New Roman" w:eastAsia="Times New Roman" w:hAnsi="Times New Roman"/>
          <w:b w:val="false"/>
          <w:bCs w:val="false"/>
          <w:i w:val="false"/>
          <w:iCs w:val="false"/>
          <w:sz w:val="22"/>
          <w:szCs w:val="22"/>
        </w:rPr>
        <w:t xml:space="preserve">10.4. Формирование документа в KRYPTA не означает автоматическое принятие такого документа государственным органом, банком или иной организацией.</w:t>
      </w:r>
    </w:p>
    <w:p>
      <w:pPr>
        <w:spacing w:after="160" w:line="276"/>
        <w:jc w:val="both"/>
      </w:pPr>
      <w:r>
        <w:rPr>
          <w:rFonts w:ascii="Times New Roman" w:cs="Times New Roman" w:eastAsia="Times New Roman" w:hAnsi="Times New Roman"/>
          <w:b w:val="false"/>
          <w:bCs w:val="false"/>
          <w:i w:val="false"/>
          <w:iCs w:val="false"/>
          <w:sz w:val="22"/>
          <w:szCs w:val="22"/>
        </w:rPr>
        <w:t xml:space="preserve">10.5. Оператор не гарантирует, что автоматически сформированный документ подойдет для всех индивидуальных обстоятельств Пользователя.</w:t>
      </w:r>
    </w:p>
    <w:p>
      <w:pPr>
        <w:spacing w:after="160" w:line="276"/>
        <w:jc w:val="both"/>
      </w:pPr>
      <w:r>
        <w:rPr>
          <w:rFonts w:ascii="Times New Roman" w:cs="Times New Roman" w:eastAsia="Times New Roman" w:hAnsi="Times New Roman"/>
          <w:b/>
          <w:bCs/>
          <w:i w:val="false"/>
          <w:iCs w:val="false"/>
          <w:sz w:val="22"/>
          <w:szCs w:val="22"/>
        </w:rPr>
        <w:t xml:space="preserve">10.6. Документы и отчеты, формируемые Сервисом (включая налоговые расчеты), носят вспомогательный информационно-аналитический характер и не являются официальным документом налогового или бухгалтерского учета, официально принимаемым Федеральной налоговой службой Российской Федерации, банками или иными государственными органами и организациями. Для целей официальной налоговой отчетности и иных юридически значимых обращений Пользователь обязан самостоятельно, либо с привлечением квалифицированного бухгалтера или налогового консультанта, подготовить документы по формам и в порядке, установленным законодательством Российской Федерации.</w:t>
      </w:r>
    </w:p>
    <w:p>
      <w:pPr>
        <w:pStyle w:val="Heading1"/>
        <w:spacing w:after="160" w:before="360"/>
      </w:pPr>
      <w:r>
        <w:t xml:space="preserve">11. Платный функционал, оплата и подписка</w:t>
      </w:r>
    </w:p>
    <w:p>
      <w:pPr>
        <w:spacing w:after="160" w:line="276"/>
        <w:jc w:val="both"/>
      </w:pPr>
      <w:r>
        <w:rPr>
          <w:rFonts w:ascii="Times New Roman" w:cs="Times New Roman" w:eastAsia="Times New Roman" w:hAnsi="Times New Roman"/>
          <w:b w:val="false"/>
          <w:bCs w:val="false"/>
          <w:i w:val="false"/>
          <w:iCs w:val="false"/>
          <w:sz w:val="22"/>
          <w:szCs w:val="22"/>
        </w:rPr>
        <w:t xml:space="preserve">11.1. Часть функций KRYPTA может предоставляться на платной основе.</w:t>
      </w:r>
    </w:p>
    <w:p>
      <w:pPr>
        <w:spacing w:after="160" w:line="276"/>
        <w:jc w:val="both"/>
      </w:pPr>
      <w:r>
        <w:rPr>
          <w:rFonts w:ascii="Times New Roman" w:cs="Times New Roman" w:eastAsia="Times New Roman" w:hAnsi="Times New Roman"/>
          <w:b w:val="false"/>
          <w:bCs w:val="false"/>
          <w:i w:val="false"/>
          <w:iCs w:val="false"/>
          <w:sz w:val="22"/>
          <w:szCs w:val="22"/>
        </w:rPr>
        <w:t xml:space="preserve">11.2. Стоимость, состав тарифа и период доступа указываются на сайте по адресу ______________________________ (адрес страницы с тарифами) и/или в интерфейсе Сервиса. Цены на тарифы, размещенные на сайте и/или в интерфейсе Сервиса, являются окончательными и включают все налоги, подлежащие уплате в соответствии с применяемой Оператором системой налогообложения.</w:t>
      </w:r>
    </w:p>
    <w:p>
      <w:pPr>
        <w:spacing w:after="160" w:line="276"/>
        <w:jc w:val="both"/>
      </w:pPr>
      <w:r>
        <w:rPr>
          <w:rFonts w:ascii="Times New Roman" w:cs="Times New Roman" w:eastAsia="Times New Roman" w:hAnsi="Times New Roman"/>
          <w:b w:val="false"/>
          <w:bCs w:val="false"/>
          <w:i w:val="false"/>
          <w:iCs w:val="false"/>
          <w:sz w:val="22"/>
          <w:szCs w:val="22"/>
        </w:rPr>
        <w:t xml:space="preserve">11.3. Пользователь получает доступ к платному функционалу после выполнения условий оплаты, предусмотренных выбранным тарифом. При оплате Пользователю в интерфейсе Сервиса предоставляется возможность ознакомиться с итоговой стоимостью и составом оплачиваемого тарифа до совершения платежа.</w:t>
      </w:r>
    </w:p>
    <w:p>
      <w:pPr>
        <w:spacing w:after="160" w:line="276"/>
        <w:jc w:val="both"/>
      </w:pPr>
      <w:r>
        <w:rPr>
          <w:rFonts w:ascii="Times New Roman" w:cs="Times New Roman" w:eastAsia="Times New Roman" w:hAnsi="Times New Roman"/>
          <w:b w:val="false"/>
          <w:bCs w:val="false"/>
          <w:i w:val="false"/>
          <w:iCs w:val="false"/>
          <w:sz w:val="22"/>
          <w:szCs w:val="22"/>
        </w:rPr>
        <w:t xml:space="preserve">11.4. Оператор вправе изменять стоимость тарифов для будущих периодов использования. Изменение стоимости не применяется задним числом к уже оплаченному периоду.</w:t>
      </w:r>
    </w:p>
    <w:p>
      <w:pPr>
        <w:spacing w:after="160" w:line="276"/>
        <w:jc w:val="both"/>
      </w:pPr>
      <w:r>
        <w:rPr>
          <w:rFonts w:ascii="Times New Roman" w:cs="Times New Roman" w:eastAsia="Times New Roman" w:hAnsi="Times New Roman"/>
          <w:b w:val="false"/>
          <w:bCs w:val="false"/>
          <w:i w:val="false"/>
          <w:iCs w:val="false"/>
          <w:sz w:val="22"/>
          <w:szCs w:val="22"/>
        </w:rPr>
        <w:t xml:space="preserve">11.5. Автопродление подписки. Если тариф предусматривает периодическое (рекуррентное) списание денежных средств, подписка автоматически продлевается на следующий период на условиях действующего на момент продления тарифа, если Пользователь не отменил подписку не позднее чем за 24 (двадцать четыре) часа до окончания текущего оплаченного периода.</w:t>
      </w:r>
    </w:p>
    <w:p>
      <w:pPr>
        <w:spacing w:after="160" w:line="276"/>
        <w:jc w:val="both"/>
      </w:pPr>
      <w:r>
        <w:rPr>
          <w:rFonts w:ascii="Times New Roman" w:cs="Times New Roman" w:eastAsia="Times New Roman" w:hAnsi="Times New Roman"/>
          <w:b w:val="false"/>
          <w:bCs w:val="false"/>
          <w:i w:val="false"/>
          <w:iCs w:val="false"/>
          <w:sz w:val="22"/>
          <w:szCs w:val="22"/>
        </w:rPr>
        <w:t xml:space="preserve">11.6. Отмена подписки. Пользователь вправе в любой момент отменить автопродление подписки в Личном кабинете или посредством обращения в службу поддержки. Отмена подписки означает прекращение последующих списаний; доступ к оплаченному функционалу сохраняется до окончания уже оплаченного периода.</w:t>
      </w:r>
    </w:p>
    <w:p>
      <w:pPr>
        <w:spacing w:after="160" w:line="276"/>
        <w:jc w:val="both"/>
      </w:pPr>
      <w:r>
        <w:rPr>
          <w:rFonts w:ascii="Times New Roman" w:cs="Times New Roman" w:eastAsia="Times New Roman" w:hAnsi="Times New Roman"/>
          <w:b w:val="false"/>
          <w:bCs w:val="false"/>
          <w:i w:val="false"/>
          <w:iCs w:val="false"/>
          <w:sz w:val="22"/>
          <w:szCs w:val="22"/>
        </w:rPr>
        <w:t xml:space="preserve">11.7. Возврат денежных средств:</w:t>
      </w:r>
    </w:p>
    <w:p>
      <w:pPr>
        <w:pStyle w:val="ListParagraph"/>
        <w:numPr>
          <w:ilvl w:val="0"/>
          <w:numId w:val="1"/>
        </w:numPr>
        <w:spacing w:after="80" w:line="276"/>
      </w:pPr>
      <w:r>
        <w:rPr>
          <w:rFonts w:ascii="Times New Roman" w:cs="Times New Roman" w:eastAsia="Times New Roman" w:hAnsi="Times New Roman"/>
          <w:sz w:val="22"/>
          <w:szCs w:val="22"/>
        </w:rPr>
        <w:t xml:space="preserve">в течение 14 (четырнадцати) календарных дней с момента оплаты Пользователь вправе отказаться от платного тарифа с полным возвратом уплаченной суммы, если оплаченный период не был активирован (Пользователь не начал использовать платный функционал);</w:t>
      </w:r>
    </w:p>
    <w:p>
      <w:pPr>
        <w:pStyle w:val="ListParagraph"/>
        <w:numPr>
          <w:ilvl w:val="0"/>
          <w:numId w:val="1"/>
        </w:numPr>
        <w:spacing w:after="80" w:line="276"/>
      </w:pPr>
      <w:r>
        <w:rPr>
          <w:rFonts w:ascii="Times New Roman" w:cs="Times New Roman" w:eastAsia="Times New Roman" w:hAnsi="Times New Roman"/>
          <w:sz w:val="22"/>
          <w:szCs w:val="22"/>
        </w:rPr>
        <w:t xml:space="preserve">если Пользователь начал использование оплаченного периода, возврат осуществляется пропорционально количеству неиспользованных календарных дней оплаченного периода по формуле: сумма возврата = (уплаченная сумма ÷ общее количество дней оплаченного периода) × количество неиспользованных дней на дату получения заявления Оператором;</w:t>
      </w:r>
    </w:p>
    <w:p>
      <w:pPr>
        <w:pStyle w:val="ListParagraph"/>
        <w:numPr>
          <w:ilvl w:val="0"/>
          <w:numId w:val="1"/>
        </w:numPr>
        <w:spacing w:after="80" w:line="276"/>
      </w:pPr>
      <w:r>
        <w:rPr>
          <w:rFonts w:ascii="Times New Roman" w:cs="Times New Roman" w:eastAsia="Times New Roman" w:hAnsi="Times New Roman"/>
          <w:sz w:val="22"/>
          <w:szCs w:val="22"/>
        </w:rPr>
        <w:t xml:space="preserve">заявление о возврате направляется Пользователем на адрес электронной почты Оператора, указанный в разделе 18 настоящей Оферты;</w:t>
      </w:r>
    </w:p>
    <w:p>
      <w:pPr>
        <w:pStyle w:val="ListParagraph"/>
        <w:numPr>
          <w:ilvl w:val="0"/>
          <w:numId w:val="1"/>
        </w:numPr>
        <w:spacing w:after="80" w:line="276"/>
      </w:pPr>
      <w:r>
        <w:rPr>
          <w:rFonts w:ascii="Times New Roman" w:cs="Times New Roman" w:eastAsia="Times New Roman" w:hAnsi="Times New Roman"/>
          <w:sz w:val="22"/>
          <w:szCs w:val="22"/>
        </w:rPr>
        <w:t xml:space="preserve">возврат денежных средств осуществляется тем же способом, которым была произведена оплата, в срок, не превышающий 10 (десяти) рабочих дней с момента получения и рассмотрения заявления Пользователя, если иной срок не установлен применимым законодательством или правилами платежной системы.</w:t>
      </w:r>
    </w:p>
    <w:p>
      <w:pPr>
        <w:spacing w:after="160" w:line="276"/>
        <w:jc w:val="both"/>
      </w:pPr>
      <w:r>
        <w:rPr>
          <w:rFonts w:ascii="Times New Roman" w:cs="Times New Roman" w:eastAsia="Times New Roman" w:hAnsi="Times New Roman"/>
          <w:b w:val="false"/>
          <w:bCs w:val="false"/>
          <w:i w:val="false"/>
          <w:iCs w:val="false"/>
          <w:sz w:val="22"/>
          <w:szCs w:val="22"/>
        </w:rPr>
        <w:t xml:space="preserve">11.8. Настоящий раздел не ограничивает права Пользователя-потребителя, установленные Законом РФ от 07.02.1992 № 2300-1 «О защите прав потребителей», и применяется в части, не противоречащей императивным нормам указанного закона.</w:t>
      </w:r>
    </w:p>
    <w:p>
      <w:pPr>
        <w:pStyle w:val="Heading1"/>
        <w:spacing w:after="160" w:before="360"/>
      </w:pPr>
      <w:r>
        <w:t xml:space="preserve">12. Приостановление и прекращение доступа</w:t>
      </w:r>
    </w:p>
    <w:p>
      <w:pPr>
        <w:spacing w:after="160" w:line="276"/>
        <w:jc w:val="both"/>
      </w:pPr>
      <w:r>
        <w:rPr>
          <w:rFonts w:ascii="Times New Roman" w:cs="Times New Roman" w:eastAsia="Times New Roman" w:hAnsi="Times New Roman"/>
          <w:b w:val="false"/>
          <w:bCs w:val="false"/>
          <w:i w:val="false"/>
          <w:iCs w:val="false"/>
          <w:sz w:val="22"/>
          <w:szCs w:val="22"/>
        </w:rPr>
        <w:t xml:space="preserve">12.1. Оператор вправе приостановить или прекратить доступ Пользователя к Сервису (полностью или частично) в случаях:</w:t>
      </w:r>
    </w:p>
    <w:p>
      <w:pPr>
        <w:pStyle w:val="ListParagraph"/>
        <w:numPr>
          <w:ilvl w:val="0"/>
          <w:numId w:val="1"/>
        </w:numPr>
        <w:spacing w:after="80" w:line="276"/>
      </w:pPr>
      <w:r>
        <w:rPr>
          <w:rFonts w:ascii="Times New Roman" w:cs="Times New Roman" w:eastAsia="Times New Roman" w:hAnsi="Times New Roman"/>
          <w:sz w:val="22"/>
          <w:szCs w:val="22"/>
        </w:rPr>
        <w:t xml:space="preserve">предоставления Пользователем недостоверных данных при регистрации или использовании Сервиса;</w:t>
      </w:r>
    </w:p>
    <w:p>
      <w:pPr>
        <w:pStyle w:val="ListParagraph"/>
        <w:numPr>
          <w:ilvl w:val="0"/>
          <w:numId w:val="1"/>
        </w:numPr>
        <w:spacing w:after="80" w:line="276"/>
      </w:pPr>
      <w:r>
        <w:rPr>
          <w:rFonts w:ascii="Times New Roman" w:cs="Times New Roman" w:eastAsia="Times New Roman" w:hAnsi="Times New Roman"/>
          <w:sz w:val="22"/>
          <w:szCs w:val="22"/>
        </w:rPr>
        <w:t xml:space="preserve">попыток несанкционированного доступа к инфраструктуре Сервиса или учетным записям иных пользователей;</w:t>
      </w:r>
    </w:p>
    <w:p>
      <w:pPr>
        <w:pStyle w:val="ListParagraph"/>
        <w:numPr>
          <w:ilvl w:val="0"/>
          <w:numId w:val="1"/>
        </w:numPr>
        <w:spacing w:after="80" w:line="276"/>
      </w:pPr>
      <w:r>
        <w:rPr>
          <w:rFonts w:ascii="Times New Roman" w:cs="Times New Roman" w:eastAsia="Times New Roman" w:hAnsi="Times New Roman"/>
          <w:sz w:val="22"/>
          <w:szCs w:val="22"/>
        </w:rPr>
        <w:t xml:space="preserve">использования Сервиса способом, создающим угрозу его безопасности, стабильности или иным пользователям;</w:t>
      </w:r>
    </w:p>
    <w:p>
      <w:pPr>
        <w:pStyle w:val="ListParagraph"/>
        <w:numPr>
          <w:ilvl w:val="0"/>
          <w:numId w:val="1"/>
        </w:numPr>
        <w:spacing w:after="80" w:line="276"/>
      </w:pPr>
      <w:r>
        <w:rPr>
          <w:rFonts w:ascii="Times New Roman" w:cs="Times New Roman" w:eastAsia="Times New Roman" w:hAnsi="Times New Roman"/>
          <w:sz w:val="22"/>
          <w:szCs w:val="22"/>
        </w:rPr>
        <w:t xml:space="preserve">нарушения законодательства Российской Федерации при использовании Сервиса;</w:t>
      </w:r>
    </w:p>
    <w:p>
      <w:pPr>
        <w:pStyle w:val="ListParagraph"/>
        <w:numPr>
          <w:ilvl w:val="0"/>
          <w:numId w:val="1"/>
        </w:numPr>
        <w:spacing w:after="80" w:line="276"/>
      </w:pPr>
      <w:r>
        <w:rPr>
          <w:rFonts w:ascii="Times New Roman" w:cs="Times New Roman" w:eastAsia="Times New Roman" w:hAnsi="Times New Roman"/>
          <w:sz w:val="22"/>
          <w:szCs w:val="22"/>
        </w:rPr>
        <w:t xml:space="preserve">внесения в Сервис данных третьих лиц без законных оснований в нарушение раздела 9 настоящей Оферты;</w:t>
      </w:r>
    </w:p>
    <w:p>
      <w:pPr>
        <w:pStyle w:val="ListParagraph"/>
        <w:numPr>
          <w:ilvl w:val="0"/>
          <w:numId w:val="1"/>
        </w:numPr>
        <w:spacing w:after="80" w:line="276"/>
      </w:pPr>
      <w:r>
        <w:rPr>
          <w:rFonts w:ascii="Times New Roman" w:cs="Times New Roman" w:eastAsia="Times New Roman" w:hAnsi="Times New Roman"/>
          <w:sz w:val="22"/>
          <w:szCs w:val="22"/>
        </w:rPr>
        <w:t xml:space="preserve">неоплаты или отзыва (chargeback) платежа за используемый тариф.</w:t>
      </w:r>
    </w:p>
    <w:p>
      <w:pPr>
        <w:spacing w:after="160" w:line="276"/>
        <w:jc w:val="both"/>
      </w:pPr>
      <w:r>
        <w:rPr>
          <w:rFonts w:ascii="Times New Roman" w:cs="Times New Roman" w:eastAsia="Times New Roman" w:hAnsi="Times New Roman"/>
          <w:b w:val="false"/>
          <w:bCs w:val="false"/>
          <w:i w:val="false"/>
          <w:iCs w:val="false"/>
          <w:sz w:val="22"/>
          <w:szCs w:val="22"/>
        </w:rPr>
        <w:t xml:space="preserve">12.2. При наличии возможности Оператор заблаговременно уведомляет Пользователя о приостановлении доступа и его причинах, за исключением случаев, когда немедленное приостановление необходимо для обеспечения безопасности Сервиса или соблюдения требований законодательства.</w:t>
      </w:r>
    </w:p>
    <w:p>
      <w:pPr>
        <w:spacing w:after="160" w:line="276"/>
        <w:jc w:val="both"/>
      </w:pPr>
      <w:r>
        <w:rPr>
          <w:rFonts w:ascii="Times New Roman" w:cs="Times New Roman" w:eastAsia="Times New Roman" w:hAnsi="Times New Roman"/>
          <w:b w:val="false"/>
          <w:bCs w:val="false"/>
          <w:i w:val="false"/>
          <w:iCs w:val="false"/>
          <w:sz w:val="22"/>
          <w:szCs w:val="22"/>
        </w:rPr>
        <w:t xml:space="preserve">12.3. Пользователь вправе в любой момент удалить свою учетную запись, обратившись в службу поддержки. Удаление учетной записи не освобождает Пользователя от обязательств, возникших до момента удаления.</w:t>
      </w:r>
    </w:p>
    <w:p>
      <w:pPr>
        <w:pStyle w:val="Heading1"/>
        <w:spacing w:after="160" w:before="360"/>
      </w:pPr>
      <w:r>
        <w:t xml:space="preserve">13. Права и обязанности пользователя</w:t>
      </w:r>
    </w:p>
    <w:p>
      <w:pPr>
        <w:spacing w:after="160" w:line="276"/>
        <w:jc w:val="both"/>
      </w:pPr>
      <w:r>
        <w:rPr>
          <w:rFonts w:ascii="Times New Roman" w:cs="Times New Roman" w:eastAsia="Times New Roman" w:hAnsi="Times New Roman"/>
          <w:b w:val="false"/>
          <w:bCs w:val="false"/>
          <w:i w:val="false"/>
          <w:iCs w:val="false"/>
          <w:sz w:val="22"/>
          <w:szCs w:val="22"/>
        </w:rPr>
        <w:t xml:space="preserve">Пользователь обязуется:</w:t>
      </w:r>
    </w:p>
    <w:p>
      <w:pPr>
        <w:pStyle w:val="ListParagraph"/>
        <w:numPr>
          <w:ilvl w:val="0"/>
          <w:numId w:val="1"/>
        </w:numPr>
        <w:spacing w:after="80" w:line="276"/>
      </w:pPr>
      <w:r>
        <w:rPr>
          <w:rFonts w:ascii="Times New Roman" w:cs="Times New Roman" w:eastAsia="Times New Roman" w:hAnsi="Times New Roman"/>
          <w:sz w:val="22"/>
          <w:szCs w:val="22"/>
        </w:rPr>
        <w:t xml:space="preserve">использовать Сервис законным способом;</w:t>
      </w:r>
    </w:p>
    <w:p>
      <w:pPr>
        <w:pStyle w:val="ListParagraph"/>
        <w:numPr>
          <w:ilvl w:val="0"/>
          <w:numId w:val="1"/>
        </w:numPr>
        <w:spacing w:after="80" w:line="276"/>
      </w:pPr>
      <w:r>
        <w:rPr>
          <w:rFonts w:ascii="Times New Roman" w:cs="Times New Roman" w:eastAsia="Times New Roman" w:hAnsi="Times New Roman"/>
          <w:sz w:val="22"/>
          <w:szCs w:val="22"/>
        </w:rPr>
        <w:t xml:space="preserve">не пытаться получить несанкционированный доступ к инфраструктуре KRYPTA;</w:t>
      </w:r>
    </w:p>
    <w:p>
      <w:pPr>
        <w:pStyle w:val="ListParagraph"/>
        <w:numPr>
          <w:ilvl w:val="0"/>
          <w:numId w:val="1"/>
        </w:numPr>
        <w:spacing w:after="80" w:line="276"/>
      </w:pPr>
      <w:r>
        <w:rPr>
          <w:rFonts w:ascii="Times New Roman" w:cs="Times New Roman" w:eastAsia="Times New Roman" w:hAnsi="Times New Roman"/>
          <w:sz w:val="22"/>
          <w:szCs w:val="22"/>
        </w:rPr>
        <w:t xml:space="preserve">не вмешиваться в работу Сервиса;</w:t>
      </w:r>
    </w:p>
    <w:p>
      <w:pPr>
        <w:pStyle w:val="ListParagraph"/>
        <w:numPr>
          <w:ilvl w:val="0"/>
          <w:numId w:val="1"/>
        </w:numPr>
        <w:spacing w:after="80" w:line="276"/>
      </w:pPr>
      <w:r>
        <w:rPr>
          <w:rFonts w:ascii="Times New Roman" w:cs="Times New Roman" w:eastAsia="Times New Roman" w:hAnsi="Times New Roman"/>
          <w:sz w:val="22"/>
          <w:szCs w:val="22"/>
        </w:rPr>
        <w:t xml:space="preserve">не использовать Сервис для нарушения законодательства;</w:t>
      </w:r>
    </w:p>
    <w:p>
      <w:pPr>
        <w:pStyle w:val="ListParagraph"/>
        <w:numPr>
          <w:ilvl w:val="0"/>
          <w:numId w:val="1"/>
        </w:numPr>
        <w:spacing w:after="80" w:line="276"/>
      </w:pPr>
      <w:r>
        <w:rPr>
          <w:rFonts w:ascii="Times New Roman" w:cs="Times New Roman" w:eastAsia="Times New Roman" w:hAnsi="Times New Roman"/>
          <w:sz w:val="22"/>
          <w:szCs w:val="22"/>
        </w:rPr>
        <w:t xml:space="preserve">не передавать третьим лицам доступ к учетной записи без разрешения Оператора;</w:t>
      </w:r>
    </w:p>
    <w:p>
      <w:pPr>
        <w:pStyle w:val="ListParagraph"/>
        <w:numPr>
          <w:ilvl w:val="0"/>
          <w:numId w:val="1"/>
        </w:numPr>
        <w:spacing w:after="80" w:line="276"/>
      </w:pPr>
      <w:r>
        <w:rPr>
          <w:rFonts w:ascii="Times New Roman" w:cs="Times New Roman" w:eastAsia="Times New Roman" w:hAnsi="Times New Roman"/>
          <w:sz w:val="22"/>
          <w:szCs w:val="22"/>
        </w:rPr>
        <w:t xml:space="preserve">самостоятельно проверять существенные данные и результаты расчетов;</w:t>
      </w:r>
    </w:p>
    <w:p>
      <w:pPr>
        <w:pStyle w:val="ListParagraph"/>
        <w:numPr>
          <w:ilvl w:val="0"/>
          <w:numId w:val="1"/>
        </w:numPr>
        <w:spacing w:after="80" w:line="276"/>
      </w:pPr>
      <w:r>
        <w:rPr>
          <w:rFonts w:ascii="Times New Roman" w:cs="Times New Roman" w:eastAsia="Times New Roman" w:hAnsi="Times New Roman"/>
          <w:sz w:val="22"/>
          <w:szCs w:val="22"/>
        </w:rPr>
        <w:t xml:space="preserve">не передавать в Сервис секретные данные криптовалютных кошельков.</w:t>
      </w:r>
    </w:p>
    <w:p>
      <w:pPr>
        <w:spacing w:after="160" w:line="276"/>
        <w:jc w:val="both"/>
      </w:pPr>
      <w:r>
        <w:rPr>
          <w:rFonts w:ascii="Times New Roman" w:cs="Times New Roman" w:eastAsia="Times New Roman" w:hAnsi="Times New Roman"/>
          <w:b w:val="false"/>
          <w:bCs w:val="false"/>
          <w:i w:val="false"/>
          <w:iCs w:val="false"/>
          <w:sz w:val="22"/>
          <w:szCs w:val="22"/>
        </w:rPr>
        <w:t xml:space="preserve">Пользователь имеет право:</w:t>
      </w:r>
    </w:p>
    <w:p>
      <w:pPr>
        <w:pStyle w:val="ListParagraph"/>
        <w:numPr>
          <w:ilvl w:val="0"/>
          <w:numId w:val="1"/>
        </w:numPr>
        <w:spacing w:after="80" w:line="276"/>
      </w:pPr>
      <w:r>
        <w:rPr>
          <w:rFonts w:ascii="Times New Roman" w:cs="Times New Roman" w:eastAsia="Times New Roman" w:hAnsi="Times New Roman"/>
          <w:sz w:val="22"/>
          <w:szCs w:val="22"/>
        </w:rPr>
        <w:t xml:space="preserve">использовать оплаченный функционал;</w:t>
      </w:r>
    </w:p>
    <w:p>
      <w:pPr>
        <w:pStyle w:val="ListParagraph"/>
        <w:numPr>
          <w:ilvl w:val="0"/>
          <w:numId w:val="1"/>
        </w:numPr>
        <w:spacing w:after="80" w:line="276"/>
      </w:pPr>
      <w:r>
        <w:rPr>
          <w:rFonts w:ascii="Times New Roman" w:cs="Times New Roman" w:eastAsia="Times New Roman" w:hAnsi="Times New Roman"/>
          <w:sz w:val="22"/>
          <w:szCs w:val="22"/>
        </w:rPr>
        <w:t xml:space="preserve">обращаться в службу поддержки;</w:t>
      </w:r>
    </w:p>
    <w:p>
      <w:pPr>
        <w:pStyle w:val="ListParagraph"/>
        <w:numPr>
          <w:ilvl w:val="0"/>
          <w:numId w:val="1"/>
        </w:numPr>
        <w:spacing w:after="80" w:line="276"/>
      </w:pPr>
      <w:r>
        <w:rPr>
          <w:rFonts w:ascii="Times New Roman" w:cs="Times New Roman" w:eastAsia="Times New Roman" w:hAnsi="Times New Roman"/>
          <w:sz w:val="22"/>
          <w:szCs w:val="22"/>
        </w:rPr>
        <w:t xml:space="preserve">управлять добавленными данными в пределах функционала Сервиса;</w:t>
      </w:r>
    </w:p>
    <w:p>
      <w:pPr>
        <w:pStyle w:val="ListParagraph"/>
        <w:numPr>
          <w:ilvl w:val="0"/>
          <w:numId w:val="1"/>
        </w:numPr>
        <w:spacing w:after="80" w:line="276"/>
      </w:pPr>
      <w:r>
        <w:rPr>
          <w:rFonts w:ascii="Times New Roman" w:cs="Times New Roman" w:eastAsia="Times New Roman" w:hAnsi="Times New Roman"/>
          <w:sz w:val="22"/>
          <w:szCs w:val="22"/>
        </w:rPr>
        <w:t xml:space="preserve">получать информацию об обработке своих персональных данных в случаях, предусмотренных законодательством;</w:t>
      </w:r>
    </w:p>
    <w:p>
      <w:pPr>
        <w:pStyle w:val="ListParagraph"/>
        <w:numPr>
          <w:ilvl w:val="0"/>
          <w:numId w:val="1"/>
        </w:numPr>
        <w:spacing w:after="80" w:line="276"/>
      </w:pPr>
      <w:r>
        <w:rPr>
          <w:rFonts w:ascii="Times New Roman" w:cs="Times New Roman" w:eastAsia="Times New Roman" w:hAnsi="Times New Roman"/>
          <w:sz w:val="22"/>
          <w:szCs w:val="22"/>
        </w:rPr>
        <w:t xml:space="preserve">отозвать согласие на обработку персональных данных в установленном порядке;</w:t>
      </w:r>
    </w:p>
    <w:p>
      <w:pPr>
        <w:pStyle w:val="ListParagraph"/>
        <w:numPr>
          <w:ilvl w:val="0"/>
          <w:numId w:val="1"/>
        </w:numPr>
        <w:spacing w:after="80" w:line="276"/>
      </w:pPr>
      <w:r>
        <w:rPr>
          <w:rFonts w:ascii="Times New Roman" w:cs="Times New Roman" w:eastAsia="Times New Roman" w:hAnsi="Times New Roman"/>
          <w:sz w:val="22"/>
          <w:szCs w:val="22"/>
        </w:rPr>
        <w:t xml:space="preserve">отменить подписку и требовать возврата денежных средств в случаях и порядке, предусмотренных разделом 11 настоящей Оферты.</w:t>
      </w:r>
    </w:p>
    <w:p>
      <w:pPr>
        <w:pStyle w:val="Heading1"/>
        <w:spacing w:after="160" w:before="360"/>
      </w:pPr>
      <w:r>
        <w:t xml:space="preserve">14. Доступность сервиса, ограничение ответственности и форс-мажор</w:t>
      </w:r>
    </w:p>
    <w:p>
      <w:pPr>
        <w:spacing w:after="160" w:line="276"/>
        <w:jc w:val="both"/>
      </w:pPr>
      <w:r>
        <w:rPr>
          <w:rFonts w:ascii="Times New Roman" w:cs="Times New Roman" w:eastAsia="Times New Roman" w:hAnsi="Times New Roman"/>
          <w:b w:val="false"/>
          <w:bCs w:val="false"/>
          <w:i w:val="false"/>
          <w:iCs w:val="false"/>
          <w:sz w:val="22"/>
          <w:szCs w:val="22"/>
        </w:rPr>
        <w:t xml:space="preserve">14.1. Оператор прилагает разумные коммерческие усилия для обеспечения доступности Сервиса на уровне не менее 99% в расчете на календарный месяц, за исключением плановых технических работ, о которых Пользователи по возможности уведомляются заранее.</w:t>
      </w:r>
    </w:p>
    <w:p>
      <w:pPr>
        <w:spacing w:after="160" w:line="276"/>
        <w:jc w:val="both"/>
      </w:pPr>
      <w:r>
        <w:rPr>
          <w:rFonts w:ascii="Times New Roman" w:cs="Times New Roman" w:eastAsia="Times New Roman" w:hAnsi="Times New Roman"/>
          <w:b w:val="false"/>
          <w:bCs w:val="false"/>
          <w:i w:val="false"/>
          <w:iCs w:val="false"/>
          <w:sz w:val="22"/>
          <w:szCs w:val="22"/>
        </w:rPr>
        <w:t xml:space="preserve">14.2. KRYPTA предоставляет программный инструмент и аналитический функционал. Оператор не несет ответственности за решения Пользователя, принятые исключительно на основании информации Сервиса.</w:t>
      </w:r>
    </w:p>
    <w:p>
      <w:pPr>
        <w:spacing w:after="160" w:line="276"/>
        <w:jc w:val="both"/>
      </w:pPr>
      <w:r>
        <w:rPr>
          <w:rFonts w:ascii="Times New Roman" w:cs="Times New Roman" w:eastAsia="Times New Roman" w:hAnsi="Times New Roman"/>
          <w:b w:val="false"/>
          <w:bCs w:val="false"/>
          <w:i w:val="false"/>
          <w:iCs w:val="false"/>
          <w:sz w:val="22"/>
          <w:szCs w:val="22"/>
        </w:rPr>
        <w:t xml:space="preserve">14.3. Оператор не гарантирует отсутствие ошибок в данных третьих лиц, публичных источниках, блокчейн-сетях, интеграциях или внешних сервисах.</w:t>
      </w:r>
    </w:p>
    <w:p>
      <w:pPr>
        <w:spacing w:after="160" w:line="276"/>
        <w:jc w:val="both"/>
      </w:pPr>
      <w:r>
        <w:rPr>
          <w:rFonts w:ascii="Times New Roman" w:cs="Times New Roman" w:eastAsia="Times New Roman" w:hAnsi="Times New Roman"/>
          <w:b w:val="false"/>
          <w:bCs w:val="false"/>
          <w:i w:val="false"/>
          <w:iCs w:val="false"/>
          <w:sz w:val="22"/>
          <w:szCs w:val="22"/>
        </w:rPr>
        <w:t xml:space="preserve">14.4. Оператор не несет ответственности за:</w:t>
      </w:r>
    </w:p>
    <w:p>
      <w:pPr>
        <w:pStyle w:val="ListParagraph"/>
        <w:numPr>
          <w:ilvl w:val="0"/>
          <w:numId w:val="1"/>
        </w:numPr>
        <w:spacing w:after="80" w:line="276"/>
      </w:pPr>
      <w:r>
        <w:rPr>
          <w:rFonts w:ascii="Times New Roman" w:cs="Times New Roman" w:eastAsia="Times New Roman" w:hAnsi="Times New Roman"/>
          <w:sz w:val="22"/>
          <w:szCs w:val="22"/>
        </w:rPr>
        <w:t xml:space="preserve">изменение законодательства;</w:t>
      </w:r>
    </w:p>
    <w:p>
      <w:pPr>
        <w:pStyle w:val="ListParagraph"/>
        <w:numPr>
          <w:ilvl w:val="0"/>
          <w:numId w:val="1"/>
        </w:numPr>
        <w:spacing w:after="80" w:line="276"/>
      </w:pPr>
      <w:r>
        <w:rPr>
          <w:rFonts w:ascii="Times New Roman" w:cs="Times New Roman" w:eastAsia="Times New Roman" w:hAnsi="Times New Roman"/>
          <w:sz w:val="22"/>
          <w:szCs w:val="22"/>
        </w:rPr>
        <w:t xml:space="preserve">изменение налоговой практики;</w:t>
      </w:r>
    </w:p>
    <w:p>
      <w:pPr>
        <w:pStyle w:val="ListParagraph"/>
        <w:numPr>
          <w:ilvl w:val="0"/>
          <w:numId w:val="1"/>
        </w:numPr>
        <w:spacing w:after="80" w:line="276"/>
      </w:pPr>
      <w:r>
        <w:rPr>
          <w:rFonts w:ascii="Times New Roman" w:cs="Times New Roman" w:eastAsia="Times New Roman" w:hAnsi="Times New Roman"/>
          <w:sz w:val="22"/>
          <w:szCs w:val="22"/>
        </w:rPr>
        <w:t xml:space="preserve">изменение правил государственных органов;</w:t>
      </w:r>
    </w:p>
    <w:p>
      <w:pPr>
        <w:pStyle w:val="ListParagraph"/>
        <w:numPr>
          <w:ilvl w:val="0"/>
          <w:numId w:val="1"/>
        </w:numPr>
        <w:spacing w:after="80" w:line="276"/>
      </w:pPr>
      <w:r>
        <w:rPr>
          <w:rFonts w:ascii="Times New Roman" w:cs="Times New Roman" w:eastAsia="Times New Roman" w:hAnsi="Times New Roman"/>
          <w:sz w:val="22"/>
          <w:szCs w:val="22"/>
        </w:rPr>
        <w:t xml:space="preserve">ошибки исходных данных Пользователя;</w:t>
      </w:r>
    </w:p>
    <w:p>
      <w:pPr>
        <w:pStyle w:val="ListParagraph"/>
        <w:numPr>
          <w:ilvl w:val="0"/>
          <w:numId w:val="1"/>
        </w:numPr>
        <w:spacing w:after="80" w:line="276"/>
      </w:pPr>
      <w:r>
        <w:rPr>
          <w:rFonts w:ascii="Times New Roman" w:cs="Times New Roman" w:eastAsia="Times New Roman" w:hAnsi="Times New Roman"/>
          <w:sz w:val="22"/>
          <w:szCs w:val="22"/>
        </w:rPr>
        <w:t xml:space="preserve">действия третьих лиц;</w:t>
      </w:r>
    </w:p>
    <w:p>
      <w:pPr>
        <w:pStyle w:val="ListParagraph"/>
        <w:numPr>
          <w:ilvl w:val="0"/>
          <w:numId w:val="1"/>
        </w:numPr>
        <w:spacing w:after="80" w:line="276"/>
      </w:pPr>
      <w:r>
        <w:rPr>
          <w:rFonts w:ascii="Times New Roman" w:cs="Times New Roman" w:eastAsia="Times New Roman" w:hAnsi="Times New Roman"/>
          <w:sz w:val="22"/>
          <w:szCs w:val="22"/>
        </w:rPr>
        <w:t xml:space="preserve">временную недоступность блокчейн-сетей или внешних сервисов;</w:t>
      </w:r>
    </w:p>
    <w:p>
      <w:pPr>
        <w:pStyle w:val="ListParagraph"/>
        <w:numPr>
          <w:ilvl w:val="0"/>
          <w:numId w:val="1"/>
        </w:numPr>
        <w:spacing w:after="80" w:line="276"/>
      </w:pPr>
      <w:r>
        <w:rPr>
          <w:rFonts w:ascii="Times New Roman" w:cs="Times New Roman" w:eastAsia="Times New Roman" w:hAnsi="Times New Roman"/>
          <w:sz w:val="22"/>
          <w:szCs w:val="22"/>
        </w:rPr>
        <w:t xml:space="preserve">рыночные изменения стоимости цифровых активов.</w:t>
      </w:r>
    </w:p>
    <w:p>
      <w:pPr>
        <w:spacing w:after="160" w:line="276"/>
        <w:jc w:val="both"/>
      </w:pPr>
      <w:r>
        <w:rPr>
          <w:rFonts w:ascii="Times New Roman" w:cs="Times New Roman" w:eastAsia="Times New Roman" w:hAnsi="Times New Roman"/>
          <w:b w:val="false"/>
          <w:bCs w:val="false"/>
          <w:i w:val="false"/>
          <w:iCs w:val="false"/>
          <w:sz w:val="22"/>
          <w:szCs w:val="22"/>
        </w:rPr>
        <w:t xml:space="preserve">14.5. Обстоятельства непреодолимой силы (форс-мажор). Оператор не несет ответственности за неисполнение или ненадлежащее исполнение обязательств по настоящей Оферте, если это вызвано обстоятельствами непреодолимой силы, включая (но не ограничиваясь): вводимые государственными органами санкции и ограничительные меры; блокировку или прекращение работы API третьих лиц (блокчейн-обозревателей, бирж, платежных систем); изменения в протоколах блокчейн-сетей (хардфорки, остановка сети); действия регуляторов, ограничивающие работу Сервиса; аварии и сбои в сетях связи и энергоснабжения; иные обстоятельства, находящиеся вне разумного контроля Оператора.</w:t>
      </w:r>
    </w:p>
    <w:p>
      <w:pPr>
        <w:spacing w:after="160" w:line="276"/>
        <w:jc w:val="both"/>
      </w:pPr>
      <w:r>
        <w:rPr>
          <w:rFonts w:ascii="Times New Roman" w:cs="Times New Roman" w:eastAsia="Times New Roman" w:hAnsi="Times New Roman"/>
          <w:b w:val="false"/>
          <w:bCs w:val="false"/>
          <w:i w:val="false"/>
          <w:iCs w:val="false"/>
          <w:sz w:val="22"/>
          <w:szCs w:val="22"/>
        </w:rPr>
        <w:t xml:space="preserve">14.6. Пользователь понимает, что налоговое законодательство и правоприменительная практика могут изменяться.</w:t>
      </w:r>
    </w:p>
    <w:p>
      <w:pPr>
        <w:pStyle w:val="Heading1"/>
        <w:spacing w:after="160" w:before="360"/>
      </w:pPr>
      <w:r>
        <w:t xml:space="preserve">15. Интеллектуальная собственность</w:t>
      </w:r>
    </w:p>
    <w:p>
      <w:pPr>
        <w:spacing w:after="160" w:line="276"/>
        <w:jc w:val="both"/>
      </w:pPr>
      <w:r>
        <w:rPr>
          <w:rFonts w:ascii="Times New Roman" w:cs="Times New Roman" w:eastAsia="Times New Roman" w:hAnsi="Times New Roman"/>
          <w:b w:val="false"/>
          <w:bCs w:val="false"/>
          <w:i w:val="false"/>
          <w:iCs w:val="false"/>
          <w:sz w:val="22"/>
          <w:szCs w:val="22"/>
        </w:rPr>
        <w:t xml:space="preserve">15.1. Исключительные права на KRYPTA, интерфейс, дизайн, программное обеспечение, бренд, логотип, документацию и иные элементы принадлежат Оператору или соответствующим правообладателям.</w:t>
      </w:r>
    </w:p>
    <w:p>
      <w:pPr>
        <w:spacing w:after="160" w:line="276"/>
        <w:jc w:val="both"/>
      </w:pPr>
      <w:r>
        <w:rPr>
          <w:rFonts w:ascii="Times New Roman" w:cs="Times New Roman" w:eastAsia="Times New Roman" w:hAnsi="Times New Roman"/>
          <w:b w:val="false"/>
          <w:bCs w:val="false"/>
          <w:i w:val="false"/>
          <w:iCs w:val="false"/>
          <w:sz w:val="22"/>
          <w:szCs w:val="22"/>
        </w:rPr>
        <w:t xml:space="preserve">15.2. Пользователь получает ограниченное право использования Сервиса исключительно для личных или согласованных коммерческих целей.</w:t>
      </w:r>
    </w:p>
    <w:p>
      <w:pPr>
        <w:spacing w:after="160" w:line="276"/>
        <w:jc w:val="both"/>
      </w:pPr>
      <w:r>
        <w:rPr>
          <w:rFonts w:ascii="Times New Roman" w:cs="Times New Roman" w:eastAsia="Times New Roman" w:hAnsi="Times New Roman"/>
          <w:b w:val="false"/>
          <w:bCs w:val="false"/>
          <w:i w:val="false"/>
          <w:iCs w:val="false"/>
          <w:sz w:val="22"/>
          <w:szCs w:val="22"/>
        </w:rPr>
        <w:t xml:space="preserve">15.3. Запрещается копировать, модифицировать, декомпилировать или распространять программные решения KRYPTA без письменного разрешения Оператора, за исключением случаев, прямо предусмотренных законодательством.</w:t>
      </w:r>
    </w:p>
    <w:p>
      <w:pPr>
        <w:pStyle w:val="Heading1"/>
        <w:spacing w:after="160" w:before="360"/>
      </w:pPr>
      <w:r>
        <w:t xml:space="preserve">16. Изменение оферты</w:t>
      </w:r>
    </w:p>
    <w:p>
      <w:pPr>
        <w:spacing w:after="160" w:line="276"/>
        <w:jc w:val="both"/>
      </w:pPr>
      <w:r>
        <w:rPr>
          <w:rFonts w:ascii="Times New Roman" w:cs="Times New Roman" w:eastAsia="Times New Roman" w:hAnsi="Times New Roman"/>
          <w:b w:val="false"/>
          <w:bCs w:val="false"/>
          <w:i w:val="false"/>
          <w:iCs w:val="false"/>
          <w:sz w:val="22"/>
          <w:szCs w:val="22"/>
        </w:rPr>
        <w:t xml:space="preserve">16.1. Оператор вправе изменять настоящую Оферту.</w:t>
      </w:r>
    </w:p>
    <w:p>
      <w:pPr>
        <w:spacing w:after="160" w:line="276"/>
        <w:jc w:val="both"/>
      </w:pPr>
      <w:r>
        <w:rPr>
          <w:rFonts w:ascii="Times New Roman" w:cs="Times New Roman" w:eastAsia="Times New Roman" w:hAnsi="Times New Roman"/>
          <w:b w:val="false"/>
          <w:bCs w:val="false"/>
          <w:i w:val="false"/>
          <w:iCs w:val="false"/>
          <w:sz w:val="22"/>
          <w:szCs w:val="22"/>
        </w:rPr>
        <w:t xml:space="preserve">16.2. Актуальная версия публикуется на сайте KRYPTA.</w:t>
      </w:r>
    </w:p>
    <w:p>
      <w:pPr>
        <w:spacing w:after="160" w:line="276"/>
        <w:jc w:val="both"/>
      </w:pPr>
      <w:r>
        <w:rPr>
          <w:rFonts w:ascii="Times New Roman" w:cs="Times New Roman" w:eastAsia="Times New Roman" w:hAnsi="Times New Roman"/>
          <w:b w:val="false"/>
          <w:bCs w:val="false"/>
          <w:i w:val="false"/>
          <w:iCs w:val="false"/>
          <w:sz w:val="22"/>
          <w:szCs w:val="22"/>
        </w:rPr>
        <w:t xml:space="preserve">16.3. Продолжение использования Сервиса после вступления новой редакции в силу означает принятие ее условий, если иной порядок не предусмотрен законодательством.</w:t>
      </w:r>
    </w:p>
    <w:p>
      <w:pPr>
        <w:pStyle w:val="Heading1"/>
        <w:spacing w:after="160" w:before="360"/>
      </w:pPr>
      <w:r>
        <w:t xml:space="preserve">17. Претензионный порядок и разрешение споров</w:t>
      </w:r>
    </w:p>
    <w:p>
      <w:pPr>
        <w:spacing w:after="160" w:line="276"/>
        <w:jc w:val="both"/>
      </w:pPr>
      <w:r>
        <w:rPr>
          <w:rFonts w:ascii="Times New Roman" w:cs="Times New Roman" w:eastAsia="Times New Roman" w:hAnsi="Times New Roman"/>
          <w:b w:val="false"/>
          <w:bCs w:val="false"/>
          <w:i w:val="false"/>
          <w:iCs w:val="false"/>
          <w:sz w:val="22"/>
          <w:szCs w:val="22"/>
        </w:rPr>
        <w:t xml:space="preserve">17.1. Претензионный (досудебный) порядок урегулирования спора является обязательным. Претензия направляется в письменной форме на адрес электронной почты Оператора либо на юридический адрес Оператора, указанные в разделе 18 настоящей Оферты.</w:t>
      </w:r>
    </w:p>
    <w:p>
      <w:pPr>
        <w:spacing w:after="160" w:line="276"/>
        <w:jc w:val="both"/>
      </w:pPr>
      <w:r>
        <w:rPr>
          <w:rFonts w:ascii="Times New Roman" w:cs="Times New Roman" w:eastAsia="Times New Roman" w:hAnsi="Times New Roman"/>
          <w:b w:val="false"/>
          <w:bCs w:val="false"/>
          <w:i w:val="false"/>
          <w:iCs w:val="false"/>
          <w:sz w:val="22"/>
          <w:szCs w:val="22"/>
        </w:rPr>
        <w:t xml:space="preserve">17.2. Претензия должна содержать: сведения о Пользователе, достаточные для его идентификации; описание существа требований; обоснование требований со ссылкой на обстоятельства и условия настоящей Оферты.</w:t>
      </w:r>
    </w:p>
    <w:p>
      <w:pPr>
        <w:spacing w:after="160" w:line="276"/>
        <w:jc w:val="both"/>
      </w:pPr>
      <w:r>
        <w:rPr>
          <w:rFonts w:ascii="Times New Roman" w:cs="Times New Roman" w:eastAsia="Times New Roman" w:hAnsi="Times New Roman"/>
          <w:b w:val="false"/>
          <w:bCs w:val="false"/>
          <w:i w:val="false"/>
          <w:iCs w:val="false"/>
          <w:sz w:val="22"/>
          <w:szCs w:val="22"/>
        </w:rPr>
        <w:t xml:space="preserve">17.3. Оператор рассматривает поступившую претензию и направляет мотивированный ответ в срок, не превышающий 10 (десяти) рабочих дней с момента ее получения, если иной срок не установлен применимым законодательством.</w:t>
      </w:r>
    </w:p>
    <w:p>
      <w:pPr>
        <w:spacing w:after="160" w:line="276"/>
        <w:jc w:val="both"/>
      </w:pPr>
      <w:r>
        <w:rPr>
          <w:rFonts w:ascii="Times New Roman" w:cs="Times New Roman" w:eastAsia="Times New Roman" w:hAnsi="Times New Roman"/>
          <w:b w:val="false"/>
          <w:bCs w:val="false"/>
          <w:i w:val="false"/>
          <w:iCs w:val="false"/>
          <w:sz w:val="22"/>
          <w:szCs w:val="22"/>
        </w:rPr>
        <w:t xml:space="preserve">17.4. В случае недостижения соглашения в претензионном порядке спор подлежит разрешению в судебном порядке в соответствии с законодательством Российской Федерации. Для споров с участием Пользователя-потребителя территориальная подсудность определяется по правилам статьи 17 Закона РФ «О защите прав потребителей» (по выбору потребителя — по месту его жительства или пребывания, по месту заключения либо исполнения договора, либо по месту нахождения Оператора).</w:t>
      </w:r>
    </w:p>
    <w:p>
      <w:pPr>
        <w:spacing w:after="160" w:line="276"/>
        <w:jc w:val="both"/>
      </w:pPr>
      <w:r>
        <w:rPr>
          <w:rFonts w:ascii="Times New Roman" w:cs="Times New Roman" w:eastAsia="Times New Roman" w:hAnsi="Times New Roman"/>
          <w:b w:val="false"/>
          <w:bCs w:val="false"/>
          <w:i w:val="false"/>
          <w:iCs w:val="false"/>
          <w:sz w:val="22"/>
          <w:szCs w:val="22"/>
        </w:rPr>
        <w:t xml:space="preserve">17.5. Для споров между Оператором и Пользователями — индивидуальными предпринимателями или юридическими лицами применяется общий (арбитражный) порядок подсудности по месту нахождения Оператора, если иное не предусмотрено законодательством.</w:t>
      </w:r>
    </w:p>
    <w:p>
      <w:pPr>
        <w:pStyle w:val="Heading1"/>
        <w:spacing w:after="160" w:before="360"/>
      </w:pPr>
      <w:r>
        <w:t xml:space="preserve">18. Реквизиты оператора</w:t>
      </w:r>
    </w:p>
    <w:p>
      <w:pPr>
        <w:spacing w:after="160" w:line="276"/>
        <w:jc w:val="both"/>
      </w:pPr>
      <w:r>
        <w:rPr>
          <w:rFonts w:ascii="Times New Roman" w:cs="Times New Roman" w:eastAsia="Times New Roman" w:hAnsi="Times New Roman"/>
          <w:b w:val="false"/>
          <w:bCs w:val="false"/>
          <w:i w:val="false"/>
          <w:iCs w:val="false"/>
          <w:sz w:val="22"/>
          <w:szCs w:val="22"/>
        </w:rPr>
        <w:t xml:space="preserve">Наименование: _____________________________________________</w:t>
      </w:r>
    </w:p>
    <w:p>
      <w:pPr>
        <w:spacing w:after="160" w:line="276"/>
        <w:jc w:val="both"/>
      </w:pPr>
      <w:r>
        <w:rPr>
          <w:rFonts w:ascii="Times New Roman" w:cs="Times New Roman" w:eastAsia="Times New Roman" w:hAnsi="Times New Roman"/>
          <w:b w:val="false"/>
          <w:bCs w:val="false"/>
          <w:i w:val="false"/>
          <w:iCs w:val="false"/>
          <w:sz w:val="22"/>
          <w:szCs w:val="22"/>
        </w:rPr>
        <w:t xml:space="preserve">ИНН: __________________</w:t>
      </w:r>
    </w:p>
    <w:p>
      <w:pPr>
        <w:spacing w:after="160" w:line="276"/>
        <w:jc w:val="both"/>
      </w:pPr>
      <w:r>
        <w:rPr>
          <w:rFonts w:ascii="Times New Roman" w:cs="Times New Roman" w:eastAsia="Times New Roman" w:hAnsi="Times New Roman"/>
          <w:b w:val="false"/>
          <w:bCs w:val="false"/>
          <w:i w:val="false"/>
          <w:iCs w:val="false"/>
          <w:sz w:val="22"/>
          <w:szCs w:val="22"/>
        </w:rPr>
        <w:t xml:space="preserve">ОГРН / ОГРНИП: ______________________</w:t>
      </w:r>
    </w:p>
    <w:p>
      <w:pPr>
        <w:spacing w:after="160" w:line="276"/>
        <w:jc w:val="both"/>
      </w:pPr>
      <w:r>
        <w:rPr>
          <w:rFonts w:ascii="Times New Roman" w:cs="Times New Roman" w:eastAsia="Times New Roman" w:hAnsi="Times New Roman"/>
          <w:b w:val="false"/>
          <w:bCs w:val="false"/>
          <w:i w:val="false"/>
          <w:iCs w:val="false"/>
          <w:sz w:val="22"/>
          <w:szCs w:val="22"/>
        </w:rPr>
        <w:t xml:space="preserve">Юридический адрес: __________________________________________________</w:t>
      </w:r>
    </w:p>
    <w:p>
      <w:pPr>
        <w:spacing w:after="160" w:line="276"/>
        <w:jc w:val="both"/>
      </w:pPr>
      <w:r>
        <w:rPr>
          <w:rFonts w:ascii="Times New Roman" w:cs="Times New Roman" w:eastAsia="Times New Roman" w:hAnsi="Times New Roman"/>
          <w:b w:val="false"/>
          <w:bCs w:val="false"/>
          <w:i w:val="false"/>
          <w:iCs w:val="false"/>
          <w:sz w:val="22"/>
          <w:szCs w:val="22"/>
        </w:rPr>
        <w:t xml:space="preserve">E-mail: ______________________________</w:t>
      </w:r>
    </w:p>
    <w:p>
      <w:pPr>
        <w:spacing w:after="160" w:line="276"/>
        <w:jc w:val="both"/>
      </w:pPr>
      <w:r>
        <w:rPr>
          <w:rFonts w:ascii="Times New Roman" w:cs="Times New Roman" w:eastAsia="Times New Roman" w:hAnsi="Times New Roman"/>
          <w:b w:val="false"/>
          <w:bCs w:val="false"/>
          <w:i w:val="false"/>
          <w:iCs w:val="false"/>
          <w:sz w:val="22"/>
          <w:szCs w:val="22"/>
        </w:rPr>
        <w:t xml:space="preserve">Сайт: ______________________________</w:t>
      </w:r>
    </w:p>
    <w:p>
      <w:pPr>
        <w:pBdr>
          <w:left w:val="single" w:color="999999" w:sz="6" w:space="8"/>
        </w:pBdr>
        <w:spacing w:after="200" w:before="80"/>
        <w:ind w:left="200"/>
      </w:pPr>
      <w:r>
        <w:rPr>
          <w:rFonts w:ascii="Times New Roman" w:cs="Times New Roman" w:eastAsia="Times New Roman" w:hAnsi="Times New Roman"/>
          <w:i/>
          <w:iCs/>
          <w:color w:val="555555"/>
          <w:sz w:val="20"/>
          <w:szCs w:val="20"/>
        </w:rPr>
        <w:t xml:space="preserve">Перед публикацией документа: заполнить реквизиты Оператора и ссылки в настоящем разделе и по тексту документа; убедиться, что порядок возврата (п. 11.7) соответствует фактической платежной инфраструктуре; провести финальную проверку документа юристом с учетом фактической бизнес-модели Оператора.</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rFonts w:ascii="Times New Roman" w:cs="Times New Roman" w:eastAsia="Times New Roman" w:hAnsi="Times New Roman"/>
      <w:b/>
      <w:bCs/>
      <w:sz w:val="32"/>
      <w:szCs w:val="32"/>
    </w:rPr>
  </w:style>
  <w:style w:type="paragraph" w:styleId="Heading1">
    <w:name w:val="Heading 1"/>
    <w:basedOn w:val="Normal"/>
    <w:next w:val="Normal"/>
    <w:qFormat/>
    <w:pPr>
      <w:spacing w:after="150" w:before="300"/>
    </w:pPr>
    <w:rPr>
      <w:rFonts w:ascii="Times New Roman" w:cs="Times New Roman" w:eastAsia="Times New Roman" w:hAnsi="Times New Roman"/>
      <w:b/>
      <w:bCs/>
      <w:color w:val="1F1F1F"/>
      <w:sz w:val="26"/>
      <w:szCs w:val="26"/>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2026-08-30T08:20:00.811Z</dcterms:created>
  <dcterms:modified xsi:type="dcterms:W3CDTF">2026-08-30T08:20:00.823Z</dcterms:modified>
</cp:coreProperties>
</file>

<file path=docProps/custom.xml><?xml version="1.0" encoding="utf-8"?>
<Properties xmlns="http://schemas.openxmlformats.org/officeDocument/2006/custom-properties" xmlns:vt="http://schemas.openxmlformats.org/officeDocument/2006/docPropsVTypes"/>
</file>